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A8" w:rsidRDefault="00D7588E">
      <w:pPr>
        <w:pStyle w:val="Standard"/>
        <w:spacing w:line="266" w:lineRule="exact"/>
        <w:ind w:firstLine="737"/>
        <w:jc w:val="right"/>
        <w:rPr>
          <w:rFonts w:ascii="Arial" w:hAnsi="Arial" w:cs="Arial"/>
          <w:spacing w:val="-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pacing w:val="-2"/>
          <w:sz w:val="20"/>
          <w:szCs w:val="20"/>
        </w:rPr>
        <w:t>Приложение</w:t>
      </w: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D7588E">
      <w:pPr>
        <w:pStyle w:val="Standard"/>
        <w:spacing w:line="266" w:lineRule="exact"/>
        <w:ind w:firstLine="737"/>
        <w:jc w:val="center"/>
      </w:pPr>
      <w:r>
        <w:rPr>
          <w:rFonts w:ascii="Arial" w:hAnsi="Arial" w:cs="Arial"/>
          <w:b/>
          <w:bCs/>
          <w:spacing w:val="-2"/>
        </w:rPr>
        <w:t>Выставочно-ярмарочные мероприятия на территории субъектов УрФО в 2023 году</w:t>
      </w: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W w:w="14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10039"/>
      </w:tblGrid>
      <w:tr w:rsidR="00C338A8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8A8" w:rsidRDefault="00D7588E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Субъект УрФО</w:t>
            </w:r>
          </w:p>
        </w:tc>
        <w:tc>
          <w:tcPr>
            <w:tcW w:w="10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8A8" w:rsidRDefault="00D7588E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Режим доступа к 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информации о проведении выставочно-ярмарочных мероприятий</w:t>
            </w:r>
          </w:p>
        </w:tc>
      </w:tr>
      <w:tr w:rsidR="00C338A8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Ямало-Ненецкий автономный округ</w:t>
            </w:r>
          </w:p>
        </w:tc>
        <w:tc>
          <w:tcPr>
            <w:tcW w:w="10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</w:pPr>
            <w:hyperlink r:id="rId6" w:history="1">
              <w:r>
                <w:rPr>
                  <w:rFonts w:ascii="Arial" w:hAnsi="Arial"/>
                  <w:sz w:val="21"/>
                  <w:szCs w:val="21"/>
                </w:rPr>
                <w:t>http://www.economic.kurganobl.ru/7578.html</w:t>
              </w:r>
            </w:hyperlink>
          </w:p>
        </w:tc>
      </w:tr>
      <w:tr w:rsidR="00C338A8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Ханты-Мансийский автономный округ-Югра</w:t>
            </w:r>
          </w:p>
        </w:tc>
        <w:tc>
          <w:tcPr>
            <w:tcW w:w="10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</w:pPr>
            <w:hyperlink r:id="rId7" w:history="1">
              <w:r>
                <w:rPr>
                  <w:rFonts w:ascii="Arial" w:hAnsi="Arial"/>
                  <w:sz w:val="21"/>
                  <w:szCs w:val="21"/>
                </w:rPr>
                <w:t>h</w:t>
              </w:r>
              <w:r>
                <w:rPr>
                  <w:rFonts w:ascii="Arial" w:hAnsi="Arial"/>
                  <w:sz w:val="21"/>
                  <w:szCs w:val="21"/>
                </w:rPr>
                <w:t>ttps://depeconom.admhmao.ru/deyatelnost/potrebitelskiy-rynok/</w:t>
              </w:r>
            </w:hyperlink>
          </w:p>
        </w:tc>
      </w:tr>
      <w:tr w:rsidR="00C338A8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Тюменская область</w:t>
            </w:r>
          </w:p>
        </w:tc>
        <w:tc>
          <w:tcPr>
            <w:tcW w:w="10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</w:pPr>
            <w:hyperlink r:id="rId8" w:history="1">
              <w:r>
                <w:rPr>
                  <w:rFonts w:ascii="Arial" w:hAnsi="Arial"/>
                  <w:sz w:val="21"/>
                  <w:szCs w:val="21"/>
                </w:rPr>
                <w:t>https://admtyumen.ru/ogv_ru/finance/consumer_market/retail_market/more.htm?id=12003542@cmsArticle</w:t>
              </w:r>
            </w:hyperlink>
          </w:p>
        </w:tc>
      </w:tr>
      <w:tr w:rsidR="00C338A8">
        <w:tblPrEx>
          <w:tblCellMar>
            <w:top w:w="0" w:type="dxa"/>
            <w:bottom w:w="0" w:type="dxa"/>
          </w:tblCellMar>
        </w:tblPrEx>
        <w:tc>
          <w:tcPr>
            <w:tcW w:w="4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Свердловская область</w:t>
            </w:r>
          </w:p>
        </w:tc>
        <w:tc>
          <w:tcPr>
            <w:tcW w:w="10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38A8" w:rsidRDefault="00D7588E">
            <w:pPr>
              <w:ind w:firstLine="709"/>
              <w:jc w:val="center"/>
            </w:pPr>
            <w:hyperlink r:id="rId9" w:history="1">
              <w:r>
                <w:rPr>
                  <w:rStyle w:val="a5"/>
                  <w:rFonts w:cs="Liberation Serif"/>
                  <w:sz w:val="21"/>
                  <w:szCs w:val="21"/>
                </w:rPr>
                <w:t>https://mcxso.midural.ru/article/show/id/180</w:t>
              </w:r>
            </w:hyperlink>
          </w:p>
        </w:tc>
      </w:tr>
    </w:tbl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C338A8" w:rsidRDefault="00C338A8">
      <w:pPr>
        <w:pStyle w:val="Standard"/>
        <w:spacing w:line="266" w:lineRule="exact"/>
        <w:ind w:firstLine="737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sectPr w:rsidR="00C338A8">
      <w:pgSz w:w="16838" w:h="11906" w:orient="landscape"/>
      <w:pgMar w:top="814" w:right="1134" w:bottom="11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8E" w:rsidRDefault="00D7588E">
      <w:r>
        <w:separator/>
      </w:r>
    </w:p>
  </w:endnote>
  <w:endnote w:type="continuationSeparator" w:id="0">
    <w:p w:rsidR="00D7588E" w:rsidRDefault="00D7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8E" w:rsidRDefault="00D7588E">
      <w:r>
        <w:rPr>
          <w:color w:val="000000"/>
        </w:rPr>
        <w:separator/>
      </w:r>
    </w:p>
  </w:footnote>
  <w:footnote w:type="continuationSeparator" w:id="0">
    <w:p w:rsidR="00D7588E" w:rsidRDefault="00D7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38A8"/>
    <w:rsid w:val="0027336F"/>
    <w:rsid w:val="00C338A8"/>
    <w:rsid w:val="00D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610F-15EF-469C-9AAC-9F84D404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00" w:after="100"/>
      <w:ind w:left="60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yumen.ru/ogv_ru/finance/consumer_market/retail_market/more.htm?id=12003542@cmsArtic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peconom.admhmao.ru/deyatelnost/potrebitelskiy-ryn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omic.kurganobl.ru/7578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cxso.midural.ru/article/show/id/1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682%201%20(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2023-02-15T05:59:00Z</cp:lastPrinted>
  <dcterms:created xsi:type="dcterms:W3CDTF">2024-08-07T04:46:00Z</dcterms:created>
  <dcterms:modified xsi:type="dcterms:W3CDTF">2024-08-07T04:46:00Z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