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99" w:rsidRPr="00614426" w:rsidRDefault="00FC4D99" w:rsidP="00FC4D99">
      <w:pPr>
        <w:widowControl/>
        <w:autoSpaceDE/>
        <w:autoSpaceDN/>
        <w:adjustRightInd/>
        <w:rPr>
          <w:rStyle w:val="FontStyle62"/>
        </w:rPr>
      </w:pPr>
      <w:r w:rsidRPr="00614426">
        <w:rPr>
          <w:rStyle w:val="FontStyle62"/>
        </w:rPr>
        <w:t>«Своя ферма»*:</w:t>
      </w:r>
    </w:p>
    <w:p w:rsidR="00FC4D99" w:rsidRPr="00614426" w:rsidRDefault="00FC4D99" w:rsidP="00FC4D99">
      <w:pPr>
        <w:widowControl/>
        <w:autoSpaceDE/>
        <w:autoSpaceDN/>
        <w:adjustRightInd/>
        <w:rPr>
          <w:rStyle w:val="FontStyle62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347"/>
      </w:tblGrid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  <w:r w:rsidRPr="00614426">
              <w:rPr>
                <w:rStyle w:val="FontStyle62"/>
              </w:rPr>
              <w:t>Целевой сегмент (категория Заемщиков)</w:t>
            </w:r>
          </w:p>
        </w:tc>
        <w:tc>
          <w:tcPr>
            <w:tcW w:w="6347" w:type="dxa"/>
          </w:tcPr>
          <w:p w:rsidR="00FC4D99" w:rsidRPr="00614426" w:rsidRDefault="00FC4D99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>Субъекты малого и среднего предпринимательства, отнесенные к таковым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зарегистрированные на территории Курганской области, за исключением граждан, ведущих личное подсобное хозяйство.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>В отношении Индивидуальных предпринимателей действует возрастное ограничение от 18 до 65 лет.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к Заемщику/СЛ</w:t>
            </w:r>
          </w:p>
        </w:tc>
        <w:tc>
          <w:tcPr>
            <w:tcW w:w="6347" w:type="dxa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  <w:u w:val="single"/>
              </w:rPr>
            </w:pPr>
            <w:r w:rsidRPr="00614426">
              <w:rPr>
                <w:rStyle w:val="FontStyle62"/>
                <w:b w:val="0"/>
                <w:u w:val="single"/>
              </w:rPr>
              <w:t>В совокупности: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1. При строительстве/реконструкции объектов наличие у Заемщика: 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1) земельного участка, имеющего соответствующее целевое назначение, принадлежащего ему на праве собственности и (или) на праве долгосрочной аренды (аренда не менее 10 лет. </w:t>
            </w:r>
            <w:proofErr w:type="gramStart"/>
            <w:r w:rsidRPr="00614426">
              <w:rPr>
                <w:rStyle w:val="FontStyle62"/>
                <w:b w:val="0"/>
              </w:rPr>
              <w:t xml:space="preserve">Окончание срока аренды не должно быть менее трех лет с даты последнего платежа по </w:t>
            </w:r>
            <w:proofErr w:type="spellStart"/>
            <w:r w:rsidRPr="00614426">
              <w:rPr>
                <w:rStyle w:val="FontStyle62"/>
                <w:b w:val="0"/>
              </w:rPr>
              <w:t>микрозайму</w:t>
            </w:r>
            <w:proofErr w:type="spellEnd"/>
            <w:r w:rsidRPr="00614426">
              <w:rPr>
                <w:rStyle w:val="FontStyle62"/>
                <w:b w:val="0"/>
              </w:rPr>
              <w:t xml:space="preserve">); </w:t>
            </w:r>
            <w:proofErr w:type="gramEnd"/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2) разрешения на строительство/реконструкцию объектов (если это предусмотрено Законодательством РФ).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2"/>
                <w:b w:val="0"/>
              </w:rPr>
              <w:t xml:space="preserve">2. </w:t>
            </w:r>
            <w:r w:rsidRPr="00614426">
              <w:rPr>
                <w:rStyle w:val="FontStyle65"/>
              </w:rPr>
              <w:t xml:space="preserve">Отсутствие по состоянию на любую дату в течение периода, равного 30 календарным дням, предшествующего дате заключения договора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>, просроченной задолженности по налогам, сборам и иным обязательным платежам в бюджеты бюджетной системы Российской Федерации, превышающей 50 тыс. руб.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5"/>
                <w:bCs/>
              </w:rPr>
            </w:pPr>
            <w:r w:rsidRPr="00614426">
              <w:rPr>
                <w:rStyle w:val="FontStyle65"/>
              </w:rPr>
              <w:t xml:space="preserve">3. Отсутствие на дату подачи заявки на предоставление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задолженности перед работниками (персоналом) по заработной плате более трех месяцев (</w:t>
            </w:r>
            <w:r w:rsidRPr="00614426">
              <w:rPr>
                <w:rStyle w:val="FontStyle65"/>
                <w:i/>
              </w:rPr>
              <w:t xml:space="preserve">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rStyle w:val="FontStyle65"/>
                <w:bCs/>
              </w:rPr>
              <w:t>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  <w:bCs/>
              </w:rPr>
              <w:t xml:space="preserve">4. </w:t>
            </w:r>
            <w:r w:rsidRPr="00614426">
              <w:rPr>
                <w:sz w:val="22"/>
                <w:szCs w:val="22"/>
              </w:rPr>
              <w:t xml:space="preserve">На день подачи заявки на получение </w:t>
            </w:r>
            <w:proofErr w:type="spellStart"/>
            <w:r w:rsidRPr="00614426">
              <w:rPr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</w:rPr>
              <w:t xml:space="preserve"> в отношении Субъекта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действия лицензии (в случае, если деятельность подлежит лицензированию) </w:t>
            </w:r>
            <w:r w:rsidRPr="00614426">
              <w:rPr>
                <w:rStyle w:val="FontStyle65"/>
                <w:i/>
              </w:rPr>
              <w:t xml:space="preserve">(в </w:t>
            </w:r>
            <w:r w:rsidRPr="00614426">
              <w:rPr>
                <w:rStyle w:val="FontStyle62"/>
                <w:b w:val="0"/>
                <w:i/>
              </w:rPr>
              <w:t>период действия режима повышенной готовности или режима ЧС данное условие не применяется</w:t>
            </w:r>
            <w:r w:rsidRPr="00614426">
              <w:rPr>
                <w:rStyle w:val="FontStyle62"/>
                <w:b w:val="0"/>
              </w:rPr>
              <w:t>)</w:t>
            </w:r>
            <w:r w:rsidRPr="00614426">
              <w:rPr>
                <w:sz w:val="22"/>
                <w:szCs w:val="22"/>
              </w:rPr>
              <w:t>.</w:t>
            </w:r>
          </w:p>
          <w:p w:rsidR="00FC4D99" w:rsidRPr="00614426" w:rsidRDefault="00FC4D99" w:rsidP="00495B88">
            <w:pPr>
              <w:pStyle w:val="a3"/>
              <w:tabs>
                <w:tab w:val="left" w:pos="439"/>
              </w:tabs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5. Наличие технико-экономического обоснования, отражающего поголовье животных и производство животноводческой продукции, экономические показатели (затраты, выручку, рентабельность, срок окупаемости), информацию о поступлении кормов;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6. Наличие письменного заключения Администрации района, подтверждающее то, что приобретаемая ферма не функционирует в течение последних 12 месяцев.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7.  Наличие у Заемщика собственных сре</w:t>
            </w:r>
            <w:proofErr w:type="gramStart"/>
            <w:r w:rsidRPr="00614426">
              <w:rPr>
                <w:rStyle w:val="FontStyle62"/>
                <w:b w:val="0"/>
              </w:rPr>
              <w:t>дств в р</w:t>
            </w:r>
            <w:proofErr w:type="gramEnd"/>
            <w:r w:rsidRPr="00614426">
              <w:rPr>
                <w:rStyle w:val="FontStyle62"/>
                <w:b w:val="0"/>
              </w:rPr>
              <w:t xml:space="preserve">азмере не менее 20 % от суммы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, подтвержденных одним из следующих способов: </w:t>
            </w:r>
          </w:p>
          <w:p w:rsidR="00FC4D99" w:rsidRPr="00614426" w:rsidRDefault="00FC4D99" w:rsidP="00FC4D99">
            <w:pPr>
              <w:pStyle w:val="a3"/>
              <w:numPr>
                <w:ilvl w:val="0"/>
                <w:numId w:val="1"/>
              </w:numPr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наличием денежных средств на счете Заемщика на дату не ранее 30 календарных дней до даты подачи заявки на </w:t>
            </w:r>
            <w:proofErr w:type="spellStart"/>
            <w:r w:rsidRPr="00614426">
              <w:rPr>
                <w:rStyle w:val="FontStyle62"/>
                <w:b w:val="0"/>
              </w:rPr>
              <w:t>микрозайм</w:t>
            </w:r>
            <w:proofErr w:type="spellEnd"/>
            <w:r w:rsidRPr="00614426">
              <w:rPr>
                <w:rStyle w:val="FontStyle62"/>
                <w:b w:val="0"/>
              </w:rPr>
              <w:t>;</w:t>
            </w:r>
          </w:p>
          <w:p w:rsidR="00FC4D99" w:rsidRPr="00614426" w:rsidRDefault="00FC4D99" w:rsidP="00FC4D99">
            <w:pPr>
              <w:pStyle w:val="a3"/>
              <w:numPr>
                <w:ilvl w:val="0"/>
                <w:numId w:val="1"/>
              </w:numPr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при наличии инвестиционного проекта – понесенные </w:t>
            </w:r>
            <w:r w:rsidRPr="00614426">
              <w:rPr>
                <w:rStyle w:val="FontStyle62"/>
                <w:b w:val="0"/>
              </w:rPr>
              <w:lastRenderedPageBreak/>
              <w:t xml:space="preserve">затраты по данному проекту </w:t>
            </w:r>
            <w:proofErr w:type="gramStart"/>
            <w:r w:rsidRPr="00614426">
              <w:rPr>
                <w:rStyle w:val="FontStyle62"/>
                <w:b w:val="0"/>
              </w:rPr>
              <w:t>за</w:t>
            </w:r>
            <w:proofErr w:type="gramEnd"/>
            <w:r w:rsidRPr="00614426">
              <w:rPr>
                <w:rStyle w:val="FontStyle62"/>
                <w:b w:val="0"/>
              </w:rPr>
              <w:t xml:space="preserve"> прошедшие 12 месяцев.</w:t>
            </w:r>
          </w:p>
          <w:p w:rsidR="00FC4D99" w:rsidRPr="00614426" w:rsidRDefault="00FC4D99" w:rsidP="00495B88">
            <w:pPr>
              <w:pStyle w:val="a3"/>
              <w:ind w:left="720"/>
              <w:jc w:val="both"/>
              <w:rPr>
                <w:rStyle w:val="FontStyle62"/>
                <w:b w:val="0"/>
              </w:rPr>
            </w:pP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 xml:space="preserve">Цель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</w:tc>
        <w:tc>
          <w:tcPr>
            <w:tcW w:w="6347" w:type="dxa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  <w:u w:val="single"/>
              </w:rPr>
            </w:pPr>
            <w:r w:rsidRPr="00614426">
              <w:rPr>
                <w:sz w:val="22"/>
                <w:szCs w:val="22"/>
                <w:u w:val="single"/>
              </w:rPr>
              <w:t xml:space="preserve">Одна или несколько целей (при условии совпадения процентной ставки и общей суммы </w:t>
            </w:r>
            <w:proofErr w:type="spellStart"/>
            <w:r w:rsidRPr="00614426">
              <w:rPr>
                <w:sz w:val="22"/>
                <w:szCs w:val="22"/>
                <w:u w:val="single"/>
              </w:rPr>
              <w:t>микрозайма</w:t>
            </w:r>
            <w:proofErr w:type="spellEnd"/>
            <w:r w:rsidRPr="00614426">
              <w:rPr>
                <w:sz w:val="22"/>
                <w:szCs w:val="22"/>
                <w:u w:val="single"/>
              </w:rPr>
              <w:t xml:space="preserve"> не более 5 000 000 руб.):</w:t>
            </w:r>
          </w:p>
          <w:p w:rsidR="00FC4D99" w:rsidRPr="00614426" w:rsidRDefault="00FC4D99" w:rsidP="00495B88">
            <w:pPr>
              <w:pStyle w:val="a3"/>
              <w:ind w:firstLine="44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1. </w:t>
            </w:r>
            <w:proofErr w:type="gramStart"/>
            <w:r w:rsidRPr="00614426">
              <w:rPr>
                <w:rStyle w:val="FontStyle62"/>
                <w:b w:val="0"/>
              </w:rPr>
              <w:t xml:space="preserve">Строительство </w:t>
            </w:r>
            <w:proofErr w:type="spellStart"/>
            <w:r w:rsidRPr="00614426">
              <w:rPr>
                <w:rStyle w:val="FontStyle62"/>
                <w:b w:val="0"/>
              </w:rPr>
              <w:t>грибоводческих</w:t>
            </w:r>
            <w:proofErr w:type="spellEnd"/>
            <w:r w:rsidRPr="00614426">
              <w:rPr>
                <w:rStyle w:val="FontStyle62"/>
                <w:b w:val="0"/>
              </w:rPr>
              <w:t xml:space="preserve"> ферм, ферм по выращиванию зелени, животноводческих и (или) птицеводческих комплексов (ферм) для крупного рогатого скота молочного и мясного направления продуктивности, коневодства, овцеводства, козоводства, кролиководства, птицеводства не менее чем на:</w:t>
            </w:r>
            <w:proofErr w:type="gramEnd"/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- 20 голов для крупного рогатого скота молочного направления продуктивности;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- 20 голов для крупного рогатого скота мясного направления продуктивности;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- 20 голов лошадей;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- 200 голов овец;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- 100 голов коз;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- 50 голов кроликов;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- 200 голов птицы.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ind w:firstLine="44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  <w:bCs w:val="0"/>
              </w:rPr>
              <w:t>2.</w:t>
            </w:r>
            <w:r w:rsidRPr="00614426">
              <w:rPr>
                <w:rStyle w:val="FontStyle62"/>
                <w:b w:val="0"/>
              </w:rPr>
              <w:t xml:space="preserve"> Реконструкция/капитальный ремонт животноводческих и (или) птицеводческих комплексов (ферм), находящихся в собственности Заемщика.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ind w:firstLine="44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3. Приобретение поголовья животных/птиц у юридических лиц и индивидуальных предпринимателей., в т</w:t>
            </w:r>
            <w:proofErr w:type="gramStart"/>
            <w:r w:rsidRPr="00614426">
              <w:rPr>
                <w:rStyle w:val="FontStyle62"/>
                <w:b w:val="0"/>
              </w:rPr>
              <w:t>.ч</w:t>
            </w:r>
            <w:proofErr w:type="gramEnd"/>
            <w:r w:rsidRPr="00614426">
              <w:rPr>
                <w:rStyle w:val="FontStyle62"/>
                <w:b w:val="0"/>
              </w:rPr>
              <w:t xml:space="preserve"> не </w:t>
            </w:r>
            <w:proofErr w:type="spellStart"/>
            <w:r w:rsidRPr="00614426">
              <w:rPr>
                <w:rStyle w:val="FontStyle62"/>
                <w:b w:val="0"/>
              </w:rPr>
              <w:t>аффилированных</w:t>
            </w:r>
            <w:proofErr w:type="spellEnd"/>
            <w:r w:rsidRPr="00614426">
              <w:rPr>
                <w:rStyle w:val="FontStyle62"/>
                <w:b w:val="0"/>
              </w:rPr>
              <w:t xml:space="preserve"> с Заемщиком.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ind w:firstLine="44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4. Приобретение </w:t>
            </w:r>
            <w:proofErr w:type="spellStart"/>
            <w:r w:rsidRPr="00614426">
              <w:rPr>
                <w:rStyle w:val="FontStyle62"/>
                <w:b w:val="0"/>
              </w:rPr>
              <w:t>грибоводческих</w:t>
            </w:r>
            <w:proofErr w:type="spellEnd"/>
            <w:r w:rsidRPr="00614426">
              <w:rPr>
                <w:rStyle w:val="FontStyle62"/>
                <w:b w:val="0"/>
              </w:rPr>
              <w:t xml:space="preserve"> ферм, ферм по выращиванию зелени, животноводческих и (или) птицеводческих комплексов (ферм).</w:t>
            </w: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  <w:vAlign w:val="center"/>
          </w:tcPr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Сумма </w:t>
            </w:r>
            <w:proofErr w:type="spellStart"/>
            <w:r w:rsidRPr="00614426">
              <w:rPr>
                <w:rStyle w:val="FontStyle62"/>
              </w:rPr>
              <w:t>микрозайма</w:t>
            </w:r>
            <w:proofErr w:type="spellEnd"/>
          </w:p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</w:p>
        </w:tc>
        <w:tc>
          <w:tcPr>
            <w:tcW w:w="6347" w:type="dxa"/>
            <w:vAlign w:val="center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5 000 000 рублей включительно.</w:t>
            </w:r>
          </w:p>
          <w:p w:rsidR="00FC4D99" w:rsidRPr="00614426" w:rsidRDefault="00FC4D99" w:rsidP="00495B88">
            <w:pPr>
              <w:pStyle w:val="a3"/>
              <w:rPr>
                <w:rStyle w:val="FontStyle62"/>
                <w:b w:val="0"/>
              </w:rPr>
            </w:pP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Процентная ставка за пользование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vAlign w:val="center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0,1 % </w:t>
            </w:r>
            <w:proofErr w:type="gramStart"/>
            <w:r w:rsidRPr="00614426">
              <w:rPr>
                <w:rStyle w:val="FontStyle62"/>
                <w:b w:val="0"/>
              </w:rPr>
              <w:t>годовых</w:t>
            </w:r>
            <w:proofErr w:type="gramEnd"/>
            <w:r w:rsidRPr="00614426">
              <w:rPr>
                <w:rStyle w:val="FontStyle62"/>
                <w:b w:val="0"/>
              </w:rPr>
              <w:t xml:space="preserve">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1,2,4.</w:t>
            </w:r>
          </w:p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3 % </w:t>
            </w:r>
            <w:proofErr w:type="gramStart"/>
            <w:r w:rsidRPr="00614426">
              <w:rPr>
                <w:rStyle w:val="FontStyle62"/>
                <w:b w:val="0"/>
              </w:rPr>
              <w:t>годовых</w:t>
            </w:r>
            <w:proofErr w:type="gramEnd"/>
            <w:r w:rsidRPr="00614426">
              <w:rPr>
                <w:rStyle w:val="FontStyle62"/>
                <w:b w:val="0"/>
              </w:rPr>
              <w:t xml:space="preserve"> на цель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: 3.</w:t>
            </w:r>
          </w:p>
          <w:p w:rsidR="00FC4D99" w:rsidRPr="00614426" w:rsidRDefault="00FC4D99" w:rsidP="00495B88">
            <w:pPr>
              <w:pStyle w:val="a3"/>
              <w:rPr>
                <w:rStyle w:val="FontStyle62"/>
                <w:b w:val="0"/>
              </w:rPr>
            </w:pPr>
          </w:p>
          <w:p w:rsidR="00FC4D99" w:rsidRPr="00614426" w:rsidRDefault="00FC4D99" w:rsidP="00495B88">
            <w:pPr>
              <w:pStyle w:val="a3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1/2 ключевой ставки ЦБ РФ на дату заключения договора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3,4,7 для Заемщиков зарегистрированных и осуществляющих свою деятельность на территории моногорода п</w:t>
            </w:r>
            <w:r w:rsidRPr="00614426">
              <w:rPr>
                <w:sz w:val="22"/>
                <w:szCs w:val="22"/>
              </w:rPr>
              <w:t xml:space="preserve">ри реализации приоритетных проектов, указанных в </w:t>
            </w:r>
            <w:hyperlink r:id="rId5" w:history="1">
              <w:r w:rsidRPr="00614426">
                <w:rPr>
                  <w:sz w:val="22"/>
                  <w:szCs w:val="22"/>
                </w:rPr>
                <w:t>пункте 2.1.2.15</w:t>
              </w:r>
            </w:hyperlink>
            <w:r w:rsidRPr="00614426">
              <w:rPr>
                <w:sz w:val="22"/>
                <w:szCs w:val="22"/>
              </w:rPr>
              <w:t xml:space="preserve"> Приказа Минэкономразвития России от 14.03.2019 N 125.</w:t>
            </w:r>
          </w:p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284"/>
              <w:rPr>
                <w:rStyle w:val="FontStyle62"/>
              </w:rPr>
            </w:pPr>
            <w:r w:rsidRPr="00614426">
              <w:rPr>
                <w:rStyle w:val="FontStyle62"/>
              </w:rPr>
              <w:t>Срок финансирования</w:t>
            </w:r>
          </w:p>
        </w:tc>
        <w:tc>
          <w:tcPr>
            <w:tcW w:w="6347" w:type="dxa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До 36 месяцев</w:t>
            </w:r>
          </w:p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</w:rPr>
              <w:t>До 24 месяцев</w:t>
            </w:r>
            <w:r w:rsidRPr="00614426">
              <w:rPr>
                <w:rStyle w:val="FontStyle62"/>
                <w:b w:val="0"/>
              </w:rPr>
              <w:t xml:space="preserve"> в период действия режима повышенной готовности или режима ЧС</w:t>
            </w: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-76"/>
              <w:rPr>
                <w:rStyle w:val="FontStyle62"/>
              </w:rPr>
            </w:pPr>
            <w:r w:rsidRPr="00614426">
              <w:rPr>
                <w:rStyle w:val="FontStyle62"/>
              </w:rPr>
              <w:t>Предоставление отсрочки платежа по основному долгу с индивидуальным графиком погашения задолженности</w:t>
            </w:r>
          </w:p>
        </w:tc>
        <w:tc>
          <w:tcPr>
            <w:tcW w:w="6347" w:type="dxa"/>
            <w:vAlign w:val="center"/>
          </w:tcPr>
          <w:p w:rsidR="00FC4D99" w:rsidRPr="00614426" w:rsidRDefault="00FC4D99" w:rsidP="00495B88">
            <w:pPr>
              <w:pStyle w:val="a3"/>
              <w:jc w:val="center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Не более 12-ти месяцев</w:t>
            </w: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66"/>
              <w:rPr>
                <w:rStyle w:val="FontStyle62"/>
              </w:rPr>
            </w:pPr>
            <w:r w:rsidRPr="00614426">
              <w:rPr>
                <w:rStyle w:val="FontStyle62"/>
              </w:rPr>
              <w:t>Требования обеспечению</w:t>
            </w:r>
          </w:p>
        </w:tc>
        <w:tc>
          <w:tcPr>
            <w:tcW w:w="6347" w:type="dxa"/>
          </w:tcPr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>Поручительство учредителей юридического лица, супруга индивидуального предпринимателя, залог имущества (в т.ч. третьих лиц)</w:t>
            </w:r>
            <w:r w:rsidRPr="00614426">
              <w:rPr>
                <w:rStyle w:val="FontStyle62"/>
                <w:b w:val="0"/>
              </w:rPr>
              <w:t>.</w:t>
            </w:r>
          </w:p>
        </w:tc>
      </w:tr>
      <w:tr w:rsidR="00FC4D99" w:rsidRPr="00614426" w:rsidTr="00495B88">
        <w:trPr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66"/>
              <w:rPr>
                <w:rStyle w:val="FontStyle62"/>
              </w:rPr>
            </w:pPr>
            <w:r w:rsidRPr="00614426">
              <w:rPr>
                <w:rStyle w:val="FontStyle62"/>
              </w:rPr>
              <w:lastRenderedPageBreak/>
              <w:t xml:space="preserve">Дополнительные условия </w:t>
            </w:r>
          </w:p>
        </w:tc>
        <w:tc>
          <w:tcPr>
            <w:tcW w:w="6347" w:type="dxa"/>
            <w:shd w:val="clear" w:color="auto" w:fill="auto"/>
          </w:tcPr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1. Перечисления Заемщику производятся на расчетный счет авансовыми платежами (очередное перечисление производится после подтверждения Заемщиком выполненных работ).</w:t>
            </w:r>
          </w:p>
          <w:p w:rsidR="00FC4D99" w:rsidRPr="00614426" w:rsidRDefault="00FC4D99" w:rsidP="00495B88">
            <w:pPr>
              <w:pStyle w:val="a3"/>
              <w:ind w:firstLine="44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Указанное дополнительное условие не применяется к приобретению ферм. 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2. Страхование жизни и здоровья Заемщиков (индивидуальных предпринимателей), а также Поручителей на сумму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пользу </w:t>
            </w:r>
            <w:proofErr w:type="spellStart"/>
            <w:r w:rsidRPr="00614426">
              <w:rPr>
                <w:rStyle w:val="FontStyle65"/>
              </w:rPr>
              <w:t>выгодоприобретателя</w:t>
            </w:r>
            <w:proofErr w:type="spellEnd"/>
            <w:r w:rsidRPr="00614426">
              <w:rPr>
                <w:rStyle w:val="FontStyle65"/>
              </w:rPr>
              <w:t xml:space="preserve"> – Фонда.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3. Строительство/реконструкцию/капитальный ремонт объектов может осуществлять организация или индивидуальный предприниматель, которые имеют соответствующий ОКВЭД. На выполнение подрядных работ обязательно должен быть заключен договор подряда, составлена смета, по окончании работ подписан </w:t>
            </w:r>
            <w:r w:rsidRPr="00614426">
              <w:rPr>
                <w:snapToGrid w:val="0"/>
                <w:sz w:val="22"/>
                <w:szCs w:val="22"/>
              </w:rPr>
              <w:t>акт приема-передачи выполненных работ</w:t>
            </w:r>
            <w:r w:rsidRPr="00614426">
              <w:rPr>
                <w:rStyle w:val="FontStyle62"/>
                <w:b w:val="0"/>
              </w:rPr>
              <w:t xml:space="preserve">. В случае выполнения работ по строительству/ реконструкции/капитальному ремонту объектов силами Заемщика, расходы подтверждаются первичными бухгалтерскими документами, в т.ч. чеками, платежными поручениями, счетами на оплату, </w:t>
            </w:r>
            <w:proofErr w:type="spellStart"/>
            <w:proofErr w:type="gramStart"/>
            <w:r w:rsidRPr="00614426">
              <w:rPr>
                <w:rStyle w:val="FontStyle62"/>
                <w:b w:val="0"/>
              </w:rPr>
              <w:t>счет-фактурами</w:t>
            </w:r>
            <w:proofErr w:type="spellEnd"/>
            <w:proofErr w:type="gramEnd"/>
            <w:r w:rsidRPr="00614426">
              <w:rPr>
                <w:rStyle w:val="FontStyle62"/>
                <w:b w:val="0"/>
              </w:rPr>
              <w:t>, товарными накладными, договорами и иными документами.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4. В случае строительства предоставляется выписка из ЕГРН на ферму не позднее 12 месяцев </w:t>
            </w:r>
            <w:proofErr w:type="gramStart"/>
            <w:r w:rsidRPr="00614426">
              <w:rPr>
                <w:rStyle w:val="FontStyle62"/>
                <w:b w:val="0"/>
              </w:rPr>
              <w:t>с даты выдачи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FC4D99" w:rsidRPr="00614426" w:rsidRDefault="00FC4D99" w:rsidP="00495B88">
            <w:pPr>
              <w:pStyle w:val="a3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      В случае реконструкции предоставляется разрешение на ввод фермы в эксплуатацию не позднее 12 месяцев </w:t>
            </w:r>
            <w:proofErr w:type="gramStart"/>
            <w:r w:rsidRPr="00614426">
              <w:rPr>
                <w:rStyle w:val="FontStyle62"/>
                <w:b w:val="0"/>
              </w:rPr>
              <w:t>с даты выдачи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>.</w:t>
            </w:r>
          </w:p>
          <w:p w:rsidR="00FC4D99" w:rsidRPr="00614426" w:rsidRDefault="00FC4D99" w:rsidP="00495B88">
            <w:pPr>
              <w:pStyle w:val="a3"/>
              <w:tabs>
                <w:tab w:val="left" w:pos="297"/>
              </w:tabs>
              <w:ind w:firstLine="14"/>
              <w:jc w:val="both"/>
              <w:rPr>
                <w:rStyle w:val="FontStyle65"/>
              </w:rPr>
            </w:pPr>
            <w:r w:rsidRPr="00614426">
              <w:rPr>
                <w:rStyle w:val="FontStyle65"/>
              </w:rPr>
              <w:t xml:space="preserve">5. Заемщик обязан </w:t>
            </w:r>
            <w:proofErr w:type="gramStart"/>
            <w:r w:rsidRPr="00614426">
              <w:rPr>
                <w:rStyle w:val="FontStyle65"/>
              </w:rPr>
              <w:t>предоставить отчет</w:t>
            </w:r>
            <w:proofErr w:type="gramEnd"/>
            <w:r w:rsidRPr="00614426">
              <w:rPr>
                <w:rStyle w:val="FontStyle65"/>
              </w:rPr>
              <w:t xml:space="preserve"> о целевом использовании </w:t>
            </w:r>
            <w:proofErr w:type="spellStart"/>
            <w:r w:rsidRPr="00614426">
              <w:rPr>
                <w:rStyle w:val="FontStyle65"/>
              </w:rPr>
              <w:t>микрозайма</w:t>
            </w:r>
            <w:proofErr w:type="spellEnd"/>
            <w:r w:rsidRPr="00614426">
              <w:rPr>
                <w:rStyle w:val="FontStyle65"/>
              </w:rPr>
              <w:t xml:space="preserve"> в течение:</w:t>
            </w:r>
          </w:p>
          <w:p w:rsidR="00FC4D99" w:rsidRPr="00614426" w:rsidRDefault="00FC4D99" w:rsidP="00495B88">
            <w:pPr>
              <w:pStyle w:val="a3"/>
              <w:tabs>
                <w:tab w:val="left" w:pos="297"/>
              </w:tabs>
              <w:ind w:firstLine="14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5"/>
              </w:rPr>
              <w:t xml:space="preserve">- </w:t>
            </w:r>
            <w:r w:rsidRPr="00614426">
              <w:rPr>
                <w:rStyle w:val="FontStyle62"/>
                <w:b w:val="0"/>
              </w:rPr>
              <w:t xml:space="preserve">12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(для целей 1,2);</w:t>
            </w:r>
          </w:p>
          <w:p w:rsidR="00FC4D99" w:rsidRPr="00614426" w:rsidRDefault="00FC4D99" w:rsidP="00495B88">
            <w:pPr>
              <w:pStyle w:val="a3"/>
              <w:tabs>
                <w:tab w:val="left" w:pos="297"/>
              </w:tabs>
              <w:ind w:firstLine="14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- 3 месяцев, </w:t>
            </w:r>
            <w:proofErr w:type="gramStart"/>
            <w:r w:rsidRPr="00614426">
              <w:rPr>
                <w:rStyle w:val="FontStyle62"/>
                <w:b w:val="0"/>
              </w:rPr>
              <w:t>с даты получения</w:t>
            </w:r>
            <w:proofErr w:type="gramEnd"/>
            <w:r w:rsidRPr="00614426">
              <w:rPr>
                <w:rStyle w:val="FontStyle62"/>
                <w:b w:val="0"/>
              </w:rPr>
              <w:t xml:space="preserve">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(для целей 3,4).</w:t>
            </w:r>
          </w:p>
          <w:p w:rsidR="00FC4D99" w:rsidRPr="00614426" w:rsidRDefault="00FC4D99" w:rsidP="00495B88">
            <w:pPr>
              <w:pStyle w:val="a3"/>
              <w:ind w:left="502"/>
              <w:jc w:val="both"/>
              <w:rPr>
                <w:rStyle w:val="FontStyle62"/>
                <w:b w:val="0"/>
              </w:rPr>
            </w:pPr>
          </w:p>
        </w:tc>
      </w:tr>
      <w:tr w:rsidR="00FC4D99" w:rsidRPr="00614426" w:rsidTr="00495B88">
        <w:trPr>
          <w:trHeight w:val="841"/>
          <w:jc w:val="center"/>
        </w:trPr>
        <w:tc>
          <w:tcPr>
            <w:tcW w:w="2977" w:type="dxa"/>
          </w:tcPr>
          <w:p w:rsidR="00FC4D99" w:rsidRPr="00614426" w:rsidRDefault="00FC4D99" w:rsidP="00495B88">
            <w:pPr>
              <w:pStyle w:val="a3"/>
              <w:ind w:right="-76"/>
              <w:rPr>
                <w:rStyle w:val="FontStyle62"/>
              </w:rPr>
            </w:pPr>
            <w:r w:rsidRPr="00614426">
              <w:rPr>
                <w:rStyle w:val="FontStyle62"/>
              </w:rPr>
              <w:t xml:space="preserve">Сохранение/создание и сохранение рабочих мест в период пользования </w:t>
            </w:r>
            <w:proofErr w:type="spellStart"/>
            <w:r w:rsidRPr="00614426">
              <w:rPr>
                <w:rStyle w:val="FontStyle62"/>
              </w:rPr>
              <w:t>микрозаймом</w:t>
            </w:r>
            <w:proofErr w:type="spellEnd"/>
          </w:p>
        </w:tc>
        <w:tc>
          <w:tcPr>
            <w:tcW w:w="6347" w:type="dxa"/>
            <w:shd w:val="clear" w:color="auto" w:fill="auto"/>
            <w:vAlign w:val="center"/>
          </w:tcPr>
          <w:p w:rsidR="00FC4D99" w:rsidRPr="00614426" w:rsidRDefault="00FC4D99" w:rsidP="00FC4D99">
            <w:pPr>
              <w:pStyle w:val="a3"/>
              <w:numPr>
                <w:ilvl w:val="0"/>
                <w:numId w:val="2"/>
              </w:numPr>
              <w:ind w:left="15" w:firstLine="1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Для целей 1,2 – создание дополнительных рабочих мест в течение 12 месяцев со дня получения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, для цели 4 – в течение 4 месяцев со дня получения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snapToGrid w:val="0"/>
                <w:sz w:val="22"/>
                <w:szCs w:val="22"/>
              </w:rPr>
              <w:t xml:space="preserve"> с последующим их сохранением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: </w:t>
            </w:r>
          </w:p>
          <w:p w:rsidR="00FC4D99" w:rsidRPr="00614426" w:rsidRDefault="00FC4D99" w:rsidP="00495B88">
            <w:pPr>
              <w:pStyle w:val="a3"/>
              <w:ind w:left="15" w:firstLine="1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при сумме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до 2 000 000 руб. включительно – не менее 1-го рабочего места; </w:t>
            </w:r>
          </w:p>
          <w:p w:rsidR="00FC4D99" w:rsidRPr="00614426" w:rsidRDefault="00FC4D99" w:rsidP="00495B88">
            <w:pPr>
              <w:pStyle w:val="a3"/>
              <w:ind w:left="15" w:firstLine="10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- при сумме </w:t>
            </w:r>
            <w:proofErr w:type="spellStart"/>
            <w:r w:rsidRPr="00614426">
              <w:rPr>
                <w:rStyle w:val="FontStyle62"/>
                <w:b w:val="0"/>
              </w:rPr>
              <w:t>микрозайма</w:t>
            </w:r>
            <w:proofErr w:type="spellEnd"/>
            <w:r w:rsidRPr="00614426">
              <w:rPr>
                <w:rStyle w:val="FontStyle62"/>
                <w:b w:val="0"/>
              </w:rPr>
              <w:t xml:space="preserve"> от 2 000 001 до 5 000 000 руб. включительно – не менее 2-х рабочих мест.</w:t>
            </w:r>
          </w:p>
          <w:p w:rsidR="00FC4D99" w:rsidRPr="00614426" w:rsidRDefault="00FC4D99" w:rsidP="00495B88">
            <w:pPr>
              <w:pStyle w:val="a3"/>
              <w:ind w:firstLine="724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>Для целей 3 – сохранение рабочих мест</w:t>
            </w:r>
            <w:r w:rsidRPr="00614426">
              <w:rPr>
                <w:snapToGrid w:val="0"/>
                <w:sz w:val="22"/>
                <w:szCs w:val="22"/>
              </w:rPr>
              <w:t xml:space="preserve"> на период действия договора </w:t>
            </w:r>
            <w:proofErr w:type="spellStart"/>
            <w:r w:rsidRPr="00614426">
              <w:rPr>
                <w:snapToGrid w:val="0"/>
                <w:sz w:val="22"/>
                <w:szCs w:val="22"/>
              </w:rPr>
              <w:t>микрозайма</w:t>
            </w:r>
            <w:proofErr w:type="spellEnd"/>
            <w:r w:rsidRPr="00614426">
              <w:rPr>
                <w:snapToGrid w:val="0"/>
                <w:sz w:val="22"/>
                <w:szCs w:val="22"/>
              </w:rPr>
              <w:t>.</w:t>
            </w:r>
          </w:p>
          <w:p w:rsidR="00FC4D99" w:rsidRPr="00614426" w:rsidRDefault="00FC4D99" w:rsidP="00FC4D99">
            <w:pPr>
              <w:pStyle w:val="a3"/>
              <w:numPr>
                <w:ilvl w:val="0"/>
                <w:numId w:val="2"/>
              </w:numPr>
              <w:ind w:left="0" w:firstLine="15"/>
              <w:jc w:val="both"/>
              <w:rPr>
                <w:rStyle w:val="FontStyle62"/>
                <w:b w:val="0"/>
              </w:rPr>
            </w:pPr>
            <w:r w:rsidRPr="00614426">
              <w:rPr>
                <w:rStyle w:val="FontStyle62"/>
                <w:b w:val="0"/>
              </w:rPr>
              <w:t xml:space="preserve">Уровень средней заработной платы работников в организации Заемщика на одного сотрудника должен составлять не менее минимального </w:t>
            </w:r>
            <w:proofErr w:type="gramStart"/>
            <w:r w:rsidRPr="00614426">
              <w:rPr>
                <w:rStyle w:val="FontStyle62"/>
                <w:b w:val="0"/>
              </w:rPr>
              <w:t>размера оплаты труда</w:t>
            </w:r>
            <w:proofErr w:type="gramEnd"/>
            <w:r w:rsidRPr="00614426">
              <w:rPr>
                <w:rStyle w:val="FontStyle62"/>
                <w:b w:val="0"/>
              </w:rPr>
              <w:t>, установленного федеральным законом Российской Федерации. Фонд вправе заключить с Заемщиком соглашение о намерениях повышения заработной платы каждого работника Заемщика в течение 12 месяцев с момента заключения указанного соглашения.</w:t>
            </w:r>
          </w:p>
          <w:p w:rsidR="00FC4D99" w:rsidRPr="00614426" w:rsidRDefault="00FC4D99" w:rsidP="00FC4D99">
            <w:pPr>
              <w:pStyle w:val="a3"/>
              <w:numPr>
                <w:ilvl w:val="0"/>
                <w:numId w:val="2"/>
              </w:numPr>
              <w:ind w:left="0" w:firstLine="25"/>
              <w:jc w:val="both"/>
              <w:rPr>
                <w:rStyle w:val="FontStyle62"/>
                <w:b w:val="0"/>
              </w:rPr>
            </w:pPr>
            <w:r w:rsidRPr="00614426">
              <w:rPr>
                <w:snapToGrid w:val="0"/>
                <w:sz w:val="22"/>
                <w:szCs w:val="22"/>
              </w:rPr>
              <w:t xml:space="preserve">Выполнение условия по созданию и (или) сохранению рабочих мест подтверждается предоставлением Заемщиком </w:t>
            </w:r>
            <w:r w:rsidRPr="00614426">
              <w:rPr>
                <w:sz w:val="22"/>
                <w:szCs w:val="22"/>
              </w:rPr>
              <w:t>отчетных документов (Форма СЗВ-СТАЖ (утверждено Постановлением Правления ПФР от 06.12.2018 №507п), Форма СЗВ-М «Сведения о застрахованных лицах» (утверждено Постановлением Правления ПФР от 01.02.2016 №83п), приказы о приеме на работу, иные документы по требованию Фонда)</w:t>
            </w:r>
            <w:r w:rsidRPr="00614426">
              <w:rPr>
                <w:snapToGrid w:val="0"/>
                <w:sz w:val="22"/>
                <w:szCs w:val="22"/>
              </w:rPr>
              <w:t>.</w:t>
            </w:r>
          </w:p>
        </w:tc>
      </w:tr>
    </w:tbl>
    <w:p w:rsidR="00FC4D99" w:rsidRPr="00614426" w:rsidRDefault="00FC4D99" w:rsidP="00FC4D99">
      <w:pPr>
        <w:widowControl/>
        <w:autoSpaceDE/>
        <w:autoSpaceDN/>
        <w:adjustRightInd/>
        <w:rPr>
          <w:rStyle w:val="FontStyle62"/>
        </w:rPr>
      </w:pPr>
    </w:p>
    <w:p w:rsidR="00FC4D99" w:rsidRPr="009875C7" w:rsidRDefault="00FC4D99" w:rsidP="00FC4D99">
      <w:pPr>
        <w:widowControl/>
        <w:autoSpaceDE/>
        <w:autoSpaceDN/>
        <w:adjustRightInd/>
        <w:jc w:val="both"/>
      </w:pPr>
      <w:r w:rsidRPr="00614426">
        <w:lastRenderedPageBreak/>
        <w:t xml:space="preserve">* - Фонд имеет право временной приостановки действия по данному продукту (рассмотрение заявок и выдача </w:t>
      </w:r>
      <w:proofErr w:type="spellStart"/>
      <w:r w:rsidRPr="00614426">
        <w:t>микрозаймов</w:t>
      </w:r>
      <w:proofErr w:type="spellEnd"/>
      <w:r w:rsidRPr="00614426">
        <w:t>), которое оформляется распоряжением руководителя Фонда.</w:t>
      </w:r>
    </w:p>
    <w:p w:rsidR="00FB194C" w:rsidRDefault="00FC4D99" w:rsidP="00FC4D99">
      <w:r>
        <w:rPr>
          <w:b/>
        </w:rPr>
        <w:br w:type="page"/>
      </w:r>
    </w:p>
    <w:sectPr w:rsidR="00FB194C" w:rsidSect="00FB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2CC"/>
    <w:multiLevelType w:val="hybridMultilevel"/>
    <w:tmpl w:val="7EB20630"/>
    <w:lvl w:ilvl="0" w:tplc="A6BE7182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>
    <w:nsid w:val="513E05BC"/>
    <w:multiLevelType w:val="hybridMultilevel"/>
    <w:tmpl w:val="5D584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D99"/>
    <w:rsid w:val="00FB194C"/>
    <w:rsid w:val="00FC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uiPriority w:val="99"/>
    <w:rsid w:val="00FC4D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C4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FC4D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FE12D0E95CD9AB569EA1507ADFF122C1&amp;req=doc&amp;base=RZR&amp;n=364368&amp;dst=100057&amp;fld=134&amp;date=20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2021-06-22T05:16:00Z</dcterms:created>
  <dcterms:modified xsi:type="dcterms:W3CDTF">2021-06-22T05:16:00Z</dcterms:modified>
</cp:coreProperties>
</file>