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34" w:rsidRPr="00126285" w:rsidRDefault="001262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628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6285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126285" w:rsidRPr="00126285" w:rsidRDefault="00126285">
      <w:pPr>
        <w:rPr>
          <w:rFonts w:ascii="Times New Roman" w:hAnsi="Times New Roman" w:cs="Times New Roman"/>
          <w:sz w:val="28"/>
          <w:szCs w:val="28"/>
        </w:rPr>
      </w:pPr>
    </w:p>
    <w:p w:rsidR="00126285" w:rsidRPr="00126285" w:rsidRDefault="00126285" w:rsidP="00126285">
      <w:pPr>
        <w:jc w:val="both"/>
        <w:rPr>
          <w:rFonts w:ascii="Times New Roman" w:hAnsi="Times New Roman" w:cs="Times New Roman"/>
          <w:sz w:val="28"/>
          <w:szCs w:val="28"/>
        </w:rPr>
      </w:pPr>
      <w:r w:rsidRPr="00126285">
        <w:rPr>
          <w:rFonts w:ascii="Times New Roman" w:hAnsi="Times New Roman" w:cs="Times New Roman"/>
          <w:b/>
          <w:bCs/>
          <w:sz w:val="28"/>
          <w:szCs w:val="28"/>
        </w:rPr>
        <w:t>Почти 155 тыс. га для жилищного строительства выявлено в рамках реализации проекта</w:t>
      </w:r>
      <w:r w:rsidRPr="0012628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126285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126285">
        <w:rPr>
          <w:rFonts w:ascii="Times New Roman" w:hAnsi="Times New Roman" w:cs="Times New Roman"/>
          <w:b/>
          <w:bCs/>
          <w:sz w:val="28"/>
          <w:szCs w:val="28"/>
        </w:rPr>
        <w:t xml:space="preserve"> «Земля для стройки». </w:t>
      </w:r>
      <w:r w:rsidRPr="0012628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628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6285">
        <w:rPr>
          <w:rFonts w:ascii="Times New Roman" w:hAnsi="Times New Roman" w:cs="Times New Roman"/>
          <w:sz w:val="28"/>
          <w:szCs w:val="28"/>
        </w:rPr>
        <w:t xml:space="preserve">  </w:t>
      </w:r>
      <w:r w:rsidRPr="00126285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</w:t>
      </w:r>
      <w:hyperlink r:id="rId5" w:history="1">
        <w:r w:rsidRPr="00126285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Марат </w:t>
        </w:r>
        <w:proofErr w:type="spellStart"/>
        <w:r w:rsidRPr="00126285">
          <w:rPr>
            <w:rStyle w:val="a3"/>
            <w:rFonts w:ascii="Times New Roman" w:hAnsi="Times New Roman" w:cs="Times New Roman"/>
            <w:sz w:val="28"/>
            <w:szCs w:val="28"/>
          </w:rPr>
          <w:t>Хуснуллин</w:t>
        </w:r>
        <w:proofErr w:type="spellEnd"/>
      </w:hyperlink>
      <w:r w:rsidRPr="00126285">
        <w:rPr>
          <w:rFonts w:ascii="Times New Roman" w:hAnsi="Times New Roman" w:cs="Times New Roman"/>
          <w:sz w:val="28"/>
          <w:szCs w:val="28"/>
        </w:rPr>
        <w:t xml:space="preserve"> рассказал, что </w:t>
      </w:r>
      <w:r w:rsidRPr="00126285">
        <w:rPr>
          <w:rFonts w:ascii="Times New Roman" w:hAnsi="Times New Roman" w:cs="Times New Roman"/>
          <w:i/>
          <w:iCs/>
          <w:sz w:val="28"/>
          <w:szCs w:val="28"/>
        </w:rPr>
        <w:t>«из общего объёма этих территорий для строительства многоквартирных домов можно использовать более 7,5 тыс. участков площадью 55 тыс. га. Для индивидуального жилищного строительства – 73 тыс. участков площадью 99,8 тыс. г</w:t>
      </w:r>
      <w:bookmarkStart w:id="0" w:name="_GoBack"/>
      <w:bookmarkEnd w:id="0"/>
      <w:r w:rsidRPr="00126285">
        <w:rPr>
          <w:rFonts w:ascii="Times New Roman" w:hAnsi="Times New Roman" w:cs="Times New Roman"/>
          <w:i/>
          <w:iCs/>
          <w:sz w:val="28"/>
          <w:szCs w:val="28"/>
        </w:rPr>
        <w:t xml:space="preserve">а. В том числе за прошлый год выявили земельные участки и территории общей площадью 52 тыс. га, что в 1,6 раза превышает показатели 2022 года и говорит о росте динамики проекта «Земля для стройки». Благодаря этой работе </w:t>
      </w:r>
      <w:proofErr w:type="spellStart"/>
      <w:r w:rsidRPr="00126285"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 w:rsidRPr="00126285">
        <w:rPr>
          <w:rFonts w:ascii="Times New Roman" w:hAnsi="Times New Roman" w:cs="Times New Roman"/>
          <w:i/>
          <w:iCs/>
          <w:sz w:val="28"/>
          <w:szCs w:val="28"/>
        </w:rPr>
        <w:t xml:space="preserve"> вносит существенный вклад в достижение рекордных показателей по вводу жилья, а значит, и в улучшение жилищных условий ещё большего количества россиян»</w:t>
      </w:r>
      <w:r w:rsidRPr="00126285">
        <w:rPr>
          <w:rFonts w:ascii="Times New Roman" w:hAnsi="Times New Roman" w:cs="Times New Roman"/>
          <w:sz w:val="28"/>
          <w:szCs w:val="28"/>
        </w:rPr>
        <w:t>.</w:t>
      </w:r>
      <w:r w:rsidRPr="00126285">
        <w:rPr>
          <w:rFonts w:ascii="Times New Roman" w:hAnsi="Times New Roman" w:cs="Times New Roman"/>
          <w:sz w:val="28"/>
          <w:szCs w:val="28"/>
        </w:rPr>
        <w:br/>
      </w:r>
      <w:r w:rsidRPr="00126285">
        <w:rPr>
          <w:rFonts w:ascii="Times New Roman" w:hAnsi="Times New Roman" w:cs="Times New Roman"/>
          <w:sz w:val="28"/>
          <w:szCs w:val="28"/>
        </w:rPr>
        <w:br/>
      </w:r>
      <w:r w:rsidRPr="00126285">
        <w:rPr>
          <w:rFonts w:ascii="Times New Roman" w:hAnsi="Times New Roman" w:cs="Times New Roman"/>
          <w:sz w:val="28"/>
          <w:szCs w:val="28"/>
        </w:rPr>
        <w:t xml:space="preserve">  </w:t>
      </w:r>
      <w:r w:rsidRPr="0012628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1262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6285">
        <w:rPr>
          <w:rFonts w:ascii="Times New Roman" w:hAnsi="Times New Roman" w:cs="Times New Roman"/>
          <w:sz w:val="28"/>
          <w:szCs w:val="28"/>
        </w:rPr>
        <w:t xml:space="preserve"> </w:t>
      </w:r>
      <w:r w:rsidRPr="00126285">
        <w:rPr>
          <w:rFonts w:ascii="Times New Roman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Pr="00126285"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126285">
        <w:rPr>
          <w:rFonts w:ascii="Times New Roman" w:hAnsi="Times New Roman" w:cs="Times New Roman"/>
          <w:sz w:val="28"/>
          <w:szCs w:val="28"/>
        </w:rPr>
        <w:t xml:space="preserve"> подчеркнул, что </w:t>
      </w:r>
      <w:r w:rsidRPr="00126285">
        <w:rPr>
          <w:rFonts w:ascii="Times New Roman" w:hAnsi="Times New Roman" w:cs="Times New Roman"/>
          <w:i/>
          <w:iCs/>
          <w:sz w:val="28"/>
          <w:szCs w:val="28"/>
        </w:rPr>
        <w:t>«ведомство не просто формирует «банк земли», но и проводит работу для вовлечения этой земли в оборот. На публичной кадастровой карте размещены сведения более чем о 62 тыс. участках в 84 субъектах Российской Федерации. Из них более 56,4 тыс. подходят под ИЖС, а 5,6 тыс. – под многоквартирные дома. В оборот уже вовлечено 16,4 тыс. участков площадью 11,8 тыс. га»</w:t>
      </w:r>
      <w:r w:rsidRPr="00126285">
        <w:rPr>
          <w:rFonts w:ascii="Times New Roman" w:hAnsi="Times New Roman" w:cs="Times New Roman"/>
          <w:sz w:val="28"/>
          <w:szCs w:val="28"/>
        </w:rPr>
        <w:t>.</w:t>
      </w:r>
      <w:r w:rsidRPr="00126285">
        <w:rPr>
          <w:rFonts w:ascii="Times New Roman" w:hAnsi="Times New Roman" w:cs="Times New Roman"/>
          <w:sz w:val="28"/>
          <w:szCs w:val="28"/>
        </w:rPr>
        <w:br/>
      </w:r>
      <w:r w:rsidRPr="00126285">
        <w:rPr>
          <w:rFonts w:ascii="Times New Roman" w:hAnsi="Times New Roman" w:cs="Times New Roman"/>
          <w:sz w:val="28"/>
          <w:szCs w:val="28"/>
        </w:rPr>
        <w:br/>
      </w:r>
      <w:r w:rsidRPr="00126285">
        <w:rPr>
          <w:rFonts w:ascii="Times New Roman" w:hAnsi="Times New Roman" w:cs="Times New Roman"/>
          <w:sz w:val="28"/>
          <w:szCs w:val="28"/>
        </w:rPr>
        <w:t xml:space="preserve">  </w:t>
      </w:r>
      <w:r w:rsidRPr="00126285">
        <w:rPr>
          <w:rFonts w:ascii="Times New Roman" w:hAnsi="Times New Roman" w:cs="Times New Roman"/>
          <w:sz w:val="28"/>
          <w:szCs w:val="28"/>
        </w:rPr>
        <w:t xml:space="preserve"> Отметим, что наибольшее количество участков, подходящих для жилищного строительства, выявлено в Северо-Кавказском (23,6 тыс.), Приволжском (14,8 тыс.) и Центральном (10,7 тыс.) федеральных округах. Лидерами по площади выявленных земель стали Приволжский (33,2 тыс. га), Центральный (27,4 тыс. га) и Сибирский (21,2 тыс. га) федеральные округа.</w:t>
      </w:r>
    </w:p>
    <w:sectPr w:rsidR="00126285" w:rsidRPr="0012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A"/>
    <w:rsid w:val="00126285"/>
    <w:rsid w:val="004D3E5A"/>
    <w:rsid w:val="008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D496"/>
  <w15:chartTrackingRefBased/>
  <w15:docId w15:val="{BB8A4FCC-8159-4615-815C-25E1206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khusnullin" TargetMode="External"/><Relationship Id="rId4" Type="http://schemas.openxmlformats.org/officeDocument/2006/relationships/hyperlink" Target="https://rosreestr.gov.ru/press/archive/v-ramkakh-proekta-zemlya-dlya-stroyki-vyyavleno-pochti-155-tys-ga-dlya-zhilishchnogo-stroi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2024-03-29T09:30:00Z</dcterms:created>
  <dcterms:modified xsi:type="dcterms:W3CDTF">2024-03-29T09:31:00Z</dcterms:modified>
</cp:coreProperties>
</file>