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4B" w:rsidRDefault="00E42BEF">
      <w:pPr>
        <w:tabs>
          <w:tab w:val="center" w:pos="4677"/>
          <w:tab w:val="right" w:pos="9355"/>
        </w:tabs>
        <w:jc w:val="center"/>
        <w:rPr>
          <w:rFonts w:eastAsia="Times New Roman"/>
          <w:bCs/>
          <w:iCs/>
          <w:color w:val="0D0D0D"/>
          <w:sz w:val="22"/>
          <w:szCs w:val="22"/>
        </w:rPr>
      </w:pPr>
      <w:r>
        <w:rPr>
          <w:rFonts w:eastAsia="Times New Roman"/>
          <w:bCs/>
          <w:iCs/>
          <w:color w:val="0D0D0D"/>
          <w:sz w:val="22"/>
          <w:szCs w:val="22"/>
        </w:rPr>
        <w:t>Акционерное общество</w:t>
      </w:r>
    </w:p>
    <w:p w:rsidR="004B6B4B" w:rsidRDefault="00E42BEF">
      <w:pPr>
        <w:tabs>
          <w:tab w:val="center" w:pos="4677"/>
          <w:tab w:val="right" w:pos="9355"/>
        </w:tabs>
        <w:spacing w:after="160" w:line="256" w:lineRule="auto"/>
        <w:jc w:val="center"/>
        <w:rPr>
          <w:rFonts w:eastAsia="Calibri"/>
          <w:bCs/>
          <w:color w:val="0D0D0D"/>
          <w:sz w:val="22"/>
          <w:szCs w:val="22"/>
          <w:lang w:eastAsia="en-US"/>
        </w:rPr>
      </w:pPr>
      <w:r>
        <w:rPr>
          <w:rFonts w:eastAsia="Calibri"/>
          <w:bCs/>
          <w:color w:val="0D0D0D"/>
          <w:sz w:val="22"/>
          <w:szCs w:val="22"/>
          <w:lang w:eastAsia="en-US"/>
        </w:rPr>
        <w:t>«Российский Сельскохозяйственный банк»</w:t>
      </w:r>
      <w:r>
        <w:rPr>
          <w:rFonts w:eastAsia="Calibri"/>
          <w:bCs/>
          <w:color w:val="0D0D0D"/>
          <w:sz w:val="22"/>
          <w:szCs w:val="22"/>
          <w:lang w:eastAsia="en-US"/>
        </w:rPr>
        <w:br/>
      </w:r>
      <w:r>
        <w:rPr>
          <w:rFonts w:eastAsia="Calibri"/>
          <w:bCs/>
          <w:iCs/>
          <w:color w:val="0D0D0D"/>
          <w:sz w:val="22"/>
          <w:szCs w:val="22"/>
          <w:lang w:eastAsia="en-US"/>
        </w:rPr>
        <w:t>(АО «Россельхозбанк»)</w:t>
      </w:r>
    </w:p>
    <w:p w:rsidR="004B6B4B" w:rsidRDefault="00E42BEF">
      <w:pPr>
        <w:pBdr>
          <w:bottom w:val="single" w:sz="12" w:space="1" w:color="000000"/>
        </w:pBdr>
        <w:tabs>
          <w:tab w:val="center" w:pos="4677"/>
          <w:tab w:val="right" w:pos="9355"/>
        </w:tabs>
        <w:spacing w:after="160" w:line="256" w:lineRule="auto"/>
        <w:jc w:val="center"/>
        <w:rPr>
          <w:rFonts w:eastAsia="Calibri"/>
          <w:b/>
          <w:bCs/>
          <w:color w:val="0D0D0D"/>
          <w:sz w:val="22"/>
          <w:szCs w:val="22"/>
          <w:lang w:eastAsia="en-US"/>
        </w:rPr>
      </w:pPr>
      <w:r>
        <w:rPr>
          <w:rFonts w:eastAsia="Calibri"/>
          <w:b/>
          <w:bCs/>
          <w:color w:val="0D0D0D"/>
          <w:sz w:val="22"/>
          <w:szCs w:val="22"/>
          <w:lang w:eastAsia="en-US"/>
        </w:rPr>
        <w:t>Департамент общественных связей</w:t>
      </w:r>
    </w:p>
    <w:p w:rsidR="004B6B4B" w:rsidRDefault="00E42BEF">
      <w:pPr>
        <w:spacing w:after="160" w:line="256" w:lineRule="auto"/>
        <w:rPr>
          <w:rFonts w:eastAsia="Calibri"/>
          <w:color w:val="0D0D0D"/>
          <w:sz w:val="22"/>
          <w:szCs w:val="22"/>
          <w:lang w:eastAsia="en-US"/>
        </w:rPr>
      </w:pPr>
      <w:r>
        <w:rPr>
          <w:rFonts w:eastAsia="Calibri"/>
          <w:color w:val="0D0D0D"/>
          <w:sz w:val="22"/>
          <w:szCs w:val="22"/>
          <w:lang w:eastAsia="en-US"/>
        </w:rPr>
        <w:t>Пресненская набережная д.10, стр.2                                                      тел.: (495) 221-51-25, 221-51-24</w:t>
      </w:r>
    </w:p>
    <w:p w:rsidR="004B6B4B" w:rsidRPr="002C70CE" w:rsidRDefault="00E42BEF">
      <w:pPr>
        <w:spacing w:after="160" w:line="256" w:lineRule="auto"/>
        <w:rPr>
          <w:rFonts w:eastAsia="Calibri"/>
          <w:color w:val="0D0D0D"/>
          <w:sz w:val="22"/>
          <w:szCs w:val="22"/>
          <w:lang w:eastAsia="en-US"/>
        </w:rPr>
      </w:pPr>
      <w:r>
        <w:rPr>
          <w:rFonts w:eastAsia="Calibri"/>
          <w:color w:val="0D0D0D"/>
          <w:sz w:val="22"/>
          <w:szCs w:val="22"/>
          <w:lang w:eastAsia="en-US"/>
        </w:rPr>
        <w:t>Е</w:t>
      </w:r>
      <w:r w:rsidRPr="002C70CE">
        <w:rPr>
          <w:rFonts w:eastAsia="Calibri"/>
          <w:color w:val="0D0D0D"/>
          <w:sz w:val="22"/>
          <w:szCs w:val="22"/>
          <w:lang w:eastAsia="en-US"/>
        </w:rPr>
        <w:t>-</w:t>
      </w:r>
      <w:r>
        <w:rPr>
          <w:rFonts w:eastAsia="Calibri"/>
          <w:color w:val="0D0D0D"/>
          <w:sz w:val="22"/>
          <w:szCs w:val="22"/>
          <w:lang w:val="en-US" w:eastAsia="en-US"/>
        </w:rPr>
        <w:t>mail</w:t>
      </w:r>
      <w:r w:rsidRPr="002C70CE">
        <w:rPr>
          <w:rFonts w:eastAsia="Calibri"/>
          <w:color w:val="0D0D0D"/>
          <w:sz w:val="22"/>
          <w:szCs w:val="22"/>
          <w:lang w:eastAsia="en-US"/>
        </w:rPr>
        <w:t xml:space="preserve">: </w:t>
      </w:r>
      <w:hyperlink r:id="rId8" w:tooltip="mailto:press@rshb.ru" w:history="1">
        <w:r>
          <w:rPr>
            <w:rFonts w:eastAsia="Calibri"/>
            <w:color w:val="0D0D0D"/>
            <w:sz w:val="22"/>
            <w:szCs w:val="22"/>
            <w:u w:val="single"/>
            <w:lang w:val="en-US" w:eastAsia="en-US"/>
          </w:rPr>
          <w:t>press</w:t>
        </w:r>
        <w:r w:rsidRPr="002C70CE">
          <w:rPr>
            <w:rFonts w:eastAsia="Calibri"/>
            <w:color w:val="0D0D0D"/>
            <w:sz w:val="22"/>
            <w:szCs w:val="22"/>
            <w:u w:val="single"/>
            <w:lang w:eastAsia="en-US"/>
          </w:rPr>
          <w:t>@</w:t>
        </w:r>
        <w:r>
          <w:rPr>
            <w:rFonts w:eastAsia="Calibri"/>
            <w:color w:val="0D0D0D"/>
            <w:sz w:val="22"/>
            <w:szCs w:val="22"/>
            <w:u w:val="single"/>
            <w:lang w:val="en-US" w:eastAsia="en-US"/>
          </w:rPr>
          <w:t>rshb</w:t>
        </w:r>
        <w:r w:rsidRPr="002C70CE">
          <w:rPr>
            <w:rFonts w:eastAsia="Calibri"/>
            <w:color w:val="0D0D0D"/>
            <w:sz w:val="22"/>
            <w:szCs w:val="22"/>
            <w:u w:val="single"/>
            <w:lang w:eastAsia="en-US"/>
          </w:rPr>
          <w:t>.</w:t>
        </w:r>
        <w:r>
          <w:rPr>
            <w:rFonts w:eastAsia="Calibri"/>
            <w:color w:val="0D0D0D"/>
            <w:sz w:val="22"/>
            <w:szCs w:val="22"/>
            <w:u w:val="single"/>
            <w:lang w:val="en-US" w:eastAsia="en-US"/>
          </w:rPr>
          <w:t>ru</w:t>
        </w:r>
      </w:hyperlink>
    </w:p>
    <w:p w:rsidR="004B6B4B" w:rsidRPr="002C70CE" w:rsidRDefault="004B6B4B">
      <w:pPr>
        <w:spacing w:after="160" w:line="256" w:lineRule="auto"/>
        <w:rPr>
          <w:rFonts w:eastAsia="Calibri"/>
          <w:color w:val="0D0D0D"/>
          <w:sz w:val="22"/>
          <w:szCs w:val="22"/>
          <w:lang w:eastAsia="en-US"/>
        </w:rPr>
      </w:pPr>
    </w:p>
    <w:p w:rsidR="004B6B4B" w:rsidRDefault="00E42BEF">
      <w:pPr>
        <w:rPr>
          <w:color w:val="000000"/>
          <w:sz w:val="22"/>
          <w:szCs w:val="22"/>
        </w:rPr>
      </w:pPr>
      <w:r w:rsidRPr="002C70CE">
        <w:rPr>
          <w:rFonts w:eastAsia="Calibri"/>
          <w:color w:val="0D0D0D"/>
          <w:sz w:val="22"/>
          <w:szCs w:val="22"/>
          <w:lang w:eastAsia="en-US"/>
        </w:rPr>
        <w:t xml:space="preserve">10 июля 2025 </w:t>
      </w:r>
      <w:r>
        <w:rPr>
          <w:rFonts w:eastAsia="Calibri"/>
          <w:color w:val="0D0D0D"/>
          <w:sz w:val="22"/>
          <w:szCs w:val="22"/>
          <w:lang w:eastAsia="en-US"/>
        </w:rPr>
        <w:t>г</w:t>
      </w:r>
      <w:r w:rsidRPr="002C70CE">
        <w:rPr>
          <w:rFonts w:eastAsia="Calibri"/>
          <w:color w:val="0D0D0D"/>
          <w:sz w:val="22"/>
          <w:szCs w:val="22"/>
          <w:lang w:eastAsia="en-US"/>
        </w:rPr>
        <w:t xml:space="preserve">.  </w:t>
      </w:r>
      <w:r w:rsidRPr="002C70CE">
        <w:rPr>
          <w:rFonts w:eastAsia="Calibri"/>
          <w:color w:val="0D0D0D"/>
          <w:sz w:val="22"/>
          <w:szCs w:val="22"/>
          <w:lang w:eastAsia="en-US"/>
        </w:rPr>
        <w:tab/>
      </w:r>
      <w:r w:rsidRPr="002C70CE">
        <w:rPr>
          <w:rFonts w:eastAsia="Calibri"/>
          <w:color w:val="0D0D0D"/>
          <w:sz w:val="22"/>
          <w:szCs w:val="22"/>
          <w:lang w:eastAsia="en-US"/>
        </w:rPr>
        <w:tab/>
      </w:r>
      <w:r w:rsidRPr="002C70CE">
        <w:rPr>
          <w:rFonts w:eastAsia="Calibri"/>
          <w:color w:val="0D0D0D"/>
          <w:sz w:val="22"/>
          <w:szCs w:val="22"/>
          <w:lang w:eastAsia="en-US"/>
        </w:rPr>
        <w:tab/>
        <w:t xml:space="preserve">  </w:t>
      </w:r>
      <w:r w:rsidRPr="002C70CE">
        <w:rPr>
          <w:rFonts w:eastAsia="Calibri"/>
          <w:color w:val="0D0D0D"/>
          <w:sz w:val="22"/>
          <w:szCs w:val="22"/>
          <w:lang w:eastAsia="en-US"/>
        </w:rPr>
        <w:tab/>
      </w:r>
      <w:r w:rsidRPr="002C70CE">
        <w:rPr>
          <w:rFonts w:eastAsia="Calibri"/>
          <w:color w:val="0D0D0D"/>
          <w:sz w:val="22"/>
          <w:szCs w:val="22"/>
          <w:lang w:eastAsia="en-US"/>
        </w:rPr>
        <w:tab/>
      </w:r>
      <w:r w:rsidRPr="002C70CE">
        <w:rPr>
          <w:rFonts w:eastAsia="Calibri"/>
          <w:color w:val="0D0D0D"/>
          <w:sz w:val="22"/>
          <w:szCs w:val="22"/>
          <w:lang w:eastAsia="en-US"/>
        </w:rPr>
        <w:tab/>
      </w:r>
      <w:r w:rsidRPr="002C70CE">
        <w:rPr>
          <w:rFonts w:eastAsia="Calibri"/>
          <w:color w:val="0D0D0D"/>
          <w:sz w:val="22"/>
          <w:szCs w:val="22"/>
          <w:lang w:eastAsia="en-US"/>
        </w:rPr>
        <w:tab/>
        <w:t xml:space="preserve">                              </w:t>
      </w:r>
      <w:r>
        <w:rPr>
          <w:rFonts w:eastAsia="Calibri"/>
          <w:color w:val="0D0D0D"/>
          <w:sz w:val="22"/>
          <w:szCs w:val="22"/>
          <w:lang w:eastAsia="en-US"/>
        </w:rPr>
        <w:t>Пресс-релиз</w:t>
      </w:r>
      <w:r>
        <w:rPr>
          <w:b/>
          <w:bCs/>
          <w:color w:val="000000"/>
        </w:rPr>
        <w:br/>
      </w:r>
      <w:r>
        <w:rPr>
          <w:color w:val="000000"/>
          <w:sz w:val="24"/>
          <w:szCs w:val="24"/>
        </w:rPr>
        <w:br/>
      </w:r>
    </w:p>
    <w:p w:rsidR="004B6B4B" w:rsidRDefault="00E42BEF">
      <w:pPr>
        <w:spacing w:after="1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РСХБ разработал инновационное решение для агросектора – цифровой подбор средств защиты растений </w:t>
      </w:r>
    </w:p>
    <w:p w:rsidR="004B6B4B" w:rsidRDefault="00E42BEF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Россельхозбанк представил новый сервис подбора средств защиты растений (СЗР) на платформе «Своё Фермерство». Новый цифровой инструмент облегчит поиск и подбор правильных СЗР для достижения оптимальных показателей в бизнесе.поможет аграриям выбирать средств</w:t>
      </w:r>
      <w:r>
        <w:rPr>
          <w:color w:val="000000"/>
          <w:sz w:val="24"/>
          <w:szCs w:val="24"/>
        </w:rPr>
        <w:t>а защиты растений с учётом культуры, типа угрозы и экономической эффективности.</w:t>
      </w:r>
    </w:p>
    <w:p w:rsidR="004B6B4B" w:rsidRDefault="00E42BEF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сервиса собственная база применяемости СЗР, насчитывающая более 43 000 вариаций. Каждая карточка препарата на маркетплейсе «Своё Фермерство» содержит подробную информа</w:t>
      </w:r>
      <w:r>
        <w:rPr>
          <w:color w:val="000000"/>
          <w:sz w:val="24"/>
          <w:szCs w:val="24"/>
        </w:rPr>
        <w:t xml:space="preserve">цию о нормах и фазах применения, допустимых культурах и сроках работ. </w:t>
      </w:r>
    </w:p>
    <w:p w:rsidR="004B6B4B" w:rsidRDefault="00E42BEF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Интеллектуальный подбор осуществляется по трем основным параметрам: тип культуры (зерновые, масличные, технические и др.), вид угрозы (сорняки, болезни, вредители) и экономическая эффек</w:t>
      </w:r>
      <w:r>
        <w:rPr>
          <w:color w:val="000000"/>
          <w:sz w:val="24"/>
          <w:szCs w:val="24"/>
        </w:rPr>
        <w:t>тивность применения. Система мгновенно формирует подборку препаратов с учетом всех агрономических и экономических параметров, позволяя выбрать оптимальное решение за считанные минуты.</w:t>
      </w:r>
    </w:p>
    <w:p w:rsidR="004B6B4B" w:rsidRDefault="00E42BEF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Цифровые инструменты подбора СЗР показали значительный рост спроса – 35 </w:t>
      </w:r>
      <w:r>
        <w:rPr>
          <w:color w:val="000000"/>
          <w:sz w:val="24"/>
          <w:szCs w:val="24"/>
        </w:rPr>
        <w:t>процентов по сравнению с предыдущим годом. На платформе представлено более 60 процентов всех зарегистрированных в России препаратов, что делает её крупнейшим агрегатором СЗР в стране.</w:t>
      </w:r>
    </w:p>
    <w:p w:rsidR="004B6B4B" w:rsidRDefault="00E42BEF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Инструмент, разработанный экспертами РСХБ, отвечает на актуальный запрос</w:t>
      </w:r>
      <w:r>
        <w:rPr>
          <w:color w:val="000000"/>
          <w:sz w:val="24"/>
          <w:szCs w:val="24"/>
        </w:rPr>
        <w:t xml:space="preserve"> аграриев, ведь сложности, возникающие при подборе средств защиты растений, могут стать препятствием в получении хорошего урожая. Аграрии должны учитывать необходимость быстрого принятия решений в критические периоды вегетации, ограниченность времени на об</w:t>
      </w:r>
      <w:r>
        <w:rPr>
          <w:color w:val="000000"/>
          <w:sz w:val="24"/>
          <w:szCs w:val="24"/>
        </w:rPr>
        <w:t xml:space="preserve">работку культур, фазы развития растений в период обработки, погодные условия, риски неправильного сочетания средств защиты растений и множество других факторов, напрямую влияющих на урожайность. </w:t>
      </w:r>
    </w:p>
    <w:p w:rsidR="004B6B4B" w:rsidRDefault="00E42BEF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«Сервис подбора СЗР на платформе Своё Фермерство решает ключ</w:t>
      </w:r>
      <w:r>
        <w:rPr>
          <w:color w:val="000000"/>
          <w:sz w:val="24"/>
          <w:szCs w:val="24"/>
        </w:rPr>
        <w:t>евую проблему аграриев – сложность выбора эффективных и экономичных схем защиты растений. Теперь фермеры за несколько минут могут подобрать оптимальное решение для обработки и защиты растений от вредителей и болезней, что особенно важно в условиях коротког</w:t>
      </w:r>
      <w:r>
        <w:rPr>
          <w:color w:val="000000"/>
          <w:sz w:val="24"/>
          <w:szCs w:val="24"/>
        </w:rPr>
        <w:t>о агрономического окна», – подчеркнула заместитель Председателя Правления Россельхозбанка Елена Батурова.</w:t>
      </w:r>
    </w:p>
    <w:p w:rsidR="004B6B4B" w:rsidRDefault="002C70CE">
      <w:pPr>
        <w:spacing w:after="576"/>
        <w:jc w:val="both"/>
      </w:pPr>
      <w:bookmarkStart w:id="0" w:name="_GoBack"/>
      <w:r w:rsidRPr="002C70CE">
        <w:rPr>
          <w:noProof/>
        </w:rPr>
        <w:lastRenderedPageBreak/>
        <w:drawing>
          <wp:inline distT="0" distB="0" distL="0" distR="0">
            <wp:extent cx="5762625" cy="2960576"/>
            <wp:effectExtent l="0" t="0" r="0" b="0"/>
            <wp:docPr id="1" name="Рисунок 1" descr="D:\Downloads\RSHB_BNR-press-release-1000x500-2009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SHB_BNR-press-release-1000x500-200903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62" cy="296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6B4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EF" w:rsidRDefault="00E42BEF">
      <w:r>
        <w:separator/>
      </w:r>
    </w:p>
  </w:endnote>
  <w:endnote w:type="continuationSeparator" w:id="0">
    <w:p w:rsidR="00E42BEF" w:rsidRDefault="00E4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EF" w:rsidRDefault="00E42BEF">
      <w:r>
        <w:separator/>
      </w:r>
    </w:p>
  </w:footnote>
  <w:footnote w:type="continuationSeparator" w:id="0">
    <w:p w:rsidR="00E42BEF" w:rsidRDefault="00E4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848"/>
    <w:multiLevelType w:val="hybridMultilevel"/>
    <w:tmpl w:val="042697B4"/>
    <w:lvl w:ilvl="0" w:tplc="5810F1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DE2C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D0DE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B276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D2F27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F07C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ACDE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00A8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FA9B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730B7"/>
    <w:multiLevelType w:val="hybridMultilevel"/>
    <w:tmpl w:val="39442E3A"/>
    <w:lvl w:ilvl="0" w:tplc="D27A20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9E632F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264365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7F6814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4D0491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E3083E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61C1C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42EFD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E727C0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D16717E"/>
    <w:multiLevelType w:val="hybridMultilevel"/>
    <w:tmpl w:val="8F3EB382"/>
    <w:lvl w:ilvl="0" w:tplc="260AB7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782A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C8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8E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E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4D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83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5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A4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EBC"/>
    <w:multiLevelType w:val="hybridMultilevel"/>
    <w:tmpl w:val="8D12931A"/>
    <w:lvl w:ilvl="0" w:tplc="B99AB82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236339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62E458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0A00CD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C0E876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8DADD4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F06DD3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AACEE5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05EA74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436417B"/>
    <w:multiLevelType w:val="hybridMultilevel"/>
    <w:tmpl w:val="9EA4730C"/>
    <w:lvl w:ilvl="0" w:tplc="F9DE3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6D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A9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1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AD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48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CC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0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0C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E65C8"/>
    <w:multiLevelType w:val="hybridMultilevel"/>
    <w:tmpl w:val="06F06506"/>
    <w:lvl w:ilvl="0" w:tplc="29806B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0DCBB0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3FC3ED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CB4BC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E2971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5C2D2E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C1289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E1C011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C22051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4454B21"/>
    <w:multiLevelType w:val="hybridMultilevel"/>
    <w:tmpl w:val="11986F24"/>
    <w:lvl w:ilvl="0" w:tplc="35CC22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EE4BA1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326472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658DA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32FA9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CB0741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5C67C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E10B80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7C4916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4B"/>
    <w:rsid w:val="002C70CE"/>
    <w:rsid w:val="004B6B4B"/>
    <w:rsid w:val="00E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8D32-C2DF-4BAA-8C61-F1820A32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472C4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Шрифт абзаца по умолчанию"/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6">
    <w:name w:val="Hyperlink"/>
    <w:rPr>
      <w:color w:val="0000FF"/>
      <w:u w:val="single"/>
    </w:rPr>
  </w:style>
  <w:style w:type="paragraph" w:styleId="af7">
    <w:name w:val="Balloon Text"/>
    <w:basedOn w:val="a"/>
    <w:link w:val="af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a">
    <w:name w:val="Верхний колонтитул Знак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rPr>
      <w:sz w:val="16"/>
      <w:szCs w:val="16"/>
    </w:rPr>
  </w:style>
  <w:style w:type="paragraph" w:styleId="afc">
    <w:name w:val="annotation text"/>
    <w:basedOn w:val="a"/>
    <w:link w:val="afd"/>
  </w:style>
  <w:style w:type="character" w:customStyle="1" w:styleId="afd">
    <w:name w:val="Текст примечания Знак"/>
    <w:link w:val="afc"/>
    <w:rPr>
      <w:sz w:val="20"/>
      <w:szCs w:val="20"/>
    </w:rPr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link w:val="afe"/>
    <w:rPr>
      <w:b/>
      <w:bCs/>
      <w:sz w:val="20"/>
      <w:szCs w:val="20"/>
    </w:rPr>
  </w:style>
  <w:style w:type="paragraph" w:styleId="aff0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f1">
    <w:name w:val="footnote text"/>
    <w:basedOn w:val="a"/>
    <w:link w:val="aff2"/>
    <w:uiPriority w:val="99"/>
    <w:semiHidden/>
    <w:unhideWhenUsed/>
  </w:style>
  <w:style w:type="character" w:customStyle="1" w:styleId="aff2">
    <w:name w:val="Текст сноски Знак"/>
    <w:basedOn w:val="a0"/>
    <w:link w:val="aff1"/>
    <w:uiPriority w:val="99"/>
    <w:semiHidden/>
  </w:style>
  <w:style w:type="character" w:styleId="aff3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rsh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E37E-7829-46B0-81D6-5688D617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>Россельхозбанк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Сергей Львович</dc:creator>
  <cp:keywords/>
  <cp:lastModifiedBy>Admin</cp:lastModifiedBy>
  <cp:revision>19</cp:revision>
  <dcterms:created xsi:type="dcterms:W3CDTF">2025-06-04T14:55:00Z</dcterms:created>
  <dcterms:modified xsi:type="dcterms:W3CDTF">2025-07-11T05:19:00Z</dcterms:modified>
  <cp:version>16.0000</cp:version>
</cp:coreProperties>
</file>