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F5" w:rsidRDefault="0089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День семьи: 25% россиян хотят получить эмоции в качестве свадебного подарка </w:t>
      </w:r>
    </w:p>
    <w:p w:rsidR="003F48F5" w:rsidRDefault="00894FFF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Ко Дню семьи, любви и верности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провёл опрос и выяснил, что лишь 5% россиян берут кредит на свадьбу, а каждый четвёртый считает лучшим подарком не деньги, а эмоции.</w:t>
      </w:r>
    </w:p>
    <w:p w:rsidR="003F48F5" w:rsidRDefault="00894FFF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Свадьба – зачастую весьма затратное мероприятие, однако собственных средств на торжество хватает 84% россиян. Ещё 11% помогли родственники. Только 5% воспользовались банковскими займами.</w:t>
      </w:r>
    </w:p>
    <w:p w:rsidR="003F48F5" w:rsidRDefault="00894FFF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4552949" cy="2390474"/>
            <wp:effectExtent l="4762" t="4762" r="4762" b="476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48F5" w:rsidRDefault="00894FFF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отношении желаемого подарка на свадьбу большинство опрошенных вы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брали деньги - 59%. На втором месте – нечто, что подарит незабываемые эмоции и навсегда оставит яркие воспоминания, например, свадебное путешествие. Такой вариант предпочли 25% респондентов. Ещё 16% россиян хотят памятные подарки, которые можно было бы пер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едать по наследству.</w:t>
      </w:r>
    </w:p>
    <w:p w:rsidR="003F48F5" w:rsidRDefault="00894FFF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5288302" cy="2261647"/>
            <wp:effectExtent l="4762" t="4762" r="4762" b="476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4697" w:rsidRDefault="008E4697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697" w:rsidRDefault="008E4697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0425" cy="30499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SHB_BNR-press-release-1000x500-240613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4697">
      <w:headerReference w:type="first" r:id="rId10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FF" w:rsidRDefault="00894FFF">
      <w:pPr>
        <w:spacing w:after="0" w:line="240" w:lineRule="auto"/>
      </w:pPr>
      <w:r>
        <w:separator/>
      </w:r>
    </w:p>
  </w:endnote>
  <w:endnote w:type="continuationSeparator" w:id="0">
    <w:p w:rsidR="00894FFF" w:rsidRDefault="0089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FF" w:rsidRDefault="00894FFF">
      <w:pPr>
        <w:spacing w:after="0" w:line="240" w:lineRule="auto"/>
      </w:pPr>
      <w:r>
        <w:separator/>
      </w:r>
    </w:p>
  </w:footnote>
  <w:footnote w:type="continuationSeparator" w:id="0">
    <w:p w:rsidR="00894FFF" w:rsidRDefault="0089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F5" w:rsidRDefault="00894FF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Акционерное общество</w:t>
    </w:r>
  </w:p>
  <w:p w:rsidR="003F48F5" w:rsidRDefault="00894FF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«Российский Сельскохозяйственный банк»</w:t>
    </w:r>
  </w:p>
  <w:p w:rsidR="003F48F5" w:rsidRDefault="00894FFF">
    <w:pPr>
      <w:pBdr>
        <w:top w:val="none" w:sz="4" w:space="0" w:color="000000"/>
        <w:left w:val="none" w:sz="4" w:space="0" w:color="000000"/>
        <w:bottom w:val="single" w:sz="12" w:space="1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(АО «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Россельхозбанк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>»)</w:t>
    </w:r>
  </w:p>
  <w:p w:rsidR="003F48F5" w:rsidRDefault="00894FFF">
    <w:pPr>
      <w:pBdr>
        <w:top w:val="none" w:sz="4" w:space="0" w:color="000000"/>
        <w:left w:val="none" w:sz="4" w:space="0" w:color="000000"/>
        <w:bottom w:val="single" w:sz="12" w:space="1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before="240" w:after="28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Департамент общественных связей</w:t>
    </w:r>
  </w:p>
  <w:p w:rsidR="003F48F5" w:rsidRDefault="00894FFF">
    <w:pPr>
      <w:spacing w:after="28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Пресненская набережная д. 10, стр.2                                                      тел.: (495) 221-51-25, 221-51-24 Е-</w:t>
    </w:r>
    <w:proofErr w:type="spellStart"/>
    <w:r>
      <w:rPr>
        <w:rFonts w:ascii="Times New Roman" w:eastAsia="Times New Roman" w:hAnsi="Times New Roman" w:cs="Times New Roman"/>
      </w:rPr>
      <w:t>mail</w:t>
    </w:r>
    <w:proofErr w:type="spellEnd"/>
    <w:r>
      <w:rPr>
        <w:rFonts w:ascii="Times New Roman" w:eastAsia="Times New Roman" w:hAnsi="Times New Roman" w:cs="Times New Roman"/>
      </w:rPr>
      <w:t>: press@rshb.ru</w:t>
    </w:r>
  </w:p>
  <w:p w:rsidR="003F48F5" w:rsidRDefault="00894FFF">
    <w:pPr>
      <w:spacing w:after="28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«08» июля 2025 г.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                                    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26E"/>
    <w:multiLevelType w:val="hybridMultilevel"/>
    <w:tmpl w:val="83EA1EB8"/>
    <w:lvl w:ilvl="0" w:tplc="F14A4E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BD8E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44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EC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8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01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ED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68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6F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0130"/>
    <w:multiLevelType w:val="hybridMultilevel"/>
    <w:tmpl w:val="9CE2EF8A"/>
    <w:lvl w:ilvl="0" w:tplc="2ADEC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6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68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E3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0D3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505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A3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27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EA0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32FD"/>
    <w:multiLevelType w:val="hybridMultilevel"/>
    <w:tmpl w:val="AE00A180"/>
    <w:lvl w:ilvl="0" w:tplc="21A079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B87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6C2D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4617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1CE3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6E91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B0D0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28D6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2EF5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77D6B53"/>
    <w:multiLevelType w:val="hybridMultilevel"/>
    <w:tmpl w:val="3B56D3B4"/>
    <w:lvl w:ilvl="0" w:tplc="276A84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92051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E68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36E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3882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561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58E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184F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46A6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8042CD2"/>
    <w:multiLevelType w:val="hybridMultilevel"/>
    <w:tmpl w:val="61988310"/>
    <w:lvl w:ilvl="0" w:tplc="A2449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60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68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8A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AC3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C5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A8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205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72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F2068"/>
    <w:multiLevelType w:val="hybridMultilevel"/>
    <w:tmpl w:val="F430597C"/>
    <w:lvl w:ilvl="0" w:tplc="66CAE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A8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AF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47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C38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88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28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C0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2D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268BE"/>
    <w:multiLevelType w:val="hybridMultilevel"/>
    <w:tmpl w:val="28D28E22"/>
    <w:lvl w:ilvl="0" w:tplc="2E10A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A17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A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E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27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E0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C5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C5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2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57DCE"/>
    <w:multiLevelType w:val="hybridMultilevel"/>
    <w:tmpl w:val="4B7A1400"/>
    <w:lvl w:ilvl="0" w:tplc="824E69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75021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986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40B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BA1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8A4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080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90DA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5021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CEB611B"/>
    <w:multiLevelType w:val="hybridMultilevel"/>
    <w:tmpl w:val="2DF2E26A"/>
    <w:lvl w:ilvl="0" w:tplc="91F03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AC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A2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4E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64C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A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A8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62B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E69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71BDE"/>
    <w:multiLevelType w:val="hybridMultilevel"/>
    <w:tmpl w:val="70E2F876"/>
    <w:lvl w:ilvl="0" w:tplc="4DE6C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4D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A7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80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6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29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2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23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6C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F5"/>
    <w:rsid w:val="003F48F5"/>
    <w:rsid w:val="00894FFF"/>
    <w:rsid w:val="008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E954"/>
  <w15:docId w15:val="{8E9E1713-8113-4651-8463-00D360DA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styleId="aff1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="1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Нужен ли вам кредит на свадьбу?</a:t>
            </a:r>
            <a:endParaRPr lang="ru-RU" sz="1200" b="1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overlay val="0"/>
      <c:spPr>
        <a:prstGeom prst="rect">
          <a:avLst/>
        </a:prstGeom>
        <a:noFill/>
        <a:ln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BDED-45CE-A463-2EA42E0B4F90}"/>
              </c:ext>
            </c:extLst>
          </c:dPt>
          <c:dPt>
            <c:idx val="1"/>
            <c:bubble3D val="0"/>
            <c:spPr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BDED-45CE-A463-2EA42E0B4F90}"/>
              </c:ext>
            </c:extLst>
          </c:dPt>
          <c:dPt>
            <c:idx val="2"/>
            <c:bubble3D val="0"/>
            <c:spPr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BDED-45CE-A463-2EA42E0B4F90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90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'Проценты и графики'!$F$12:$F$14</c:f>
              <c:strCache>
                <c:ptCount val="3"/>
                <c:pt idx="0">
                  <c:v>Да</c:v>
                </c:pt>
                <c:pt idx="1">
                  <c:v>Нам помогут родственники</c:v>
                </c:pt>
                <c:pt idx="2">
                  <c:v>Нет</c:v>
                </c:pt>
              </c:strCache>
            </c:strRef>
          </c:cat>
          <c:val>
            <c:numRef>
              <c:f>'Проценты и графики'!$G$12:$G$14</c:f>
              <c:numCache>
                <c:formatCode>0.0%</c:formatCode>
                <c:ptCount val="3"/>
                <c:pt idx="0">
                  <c:v>4.5667447306791571E-2</c:v>
                </c:pt>
                <c:pt idx="1">
                  <c:v>0.11124121779859485</c:v>
                </c:pt>
                <c:pt idx="2">
                  <c:v>0.84309133489461363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DED-45CE-A463-2EA42E0B4F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eparator> </c:separator>
          <c:showLeaderLines val="0"/>
        </c:dLbls>
        <c:firstSliceAng val="0"/>
      </c:pieChart>
      <c:spPr>
        <a:prstGeom prst="rect">
          <a:avLst/>
        </a:prstGeom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5244000000000002"/>
          <c:y val="0.34633999999999998"/>
          <c:w val="0.33395000000000002"/>
          <c:h val="0.3073000000000000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4552948" cy="2390474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90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spc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="1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Какой, по вашему мнению, лучший подарок на свадьбу?</a:t>
            </a:r>
            <a:endParaRPr lang="ru-RU" sz="1200" b="1">
              <a:solidFill>
                <a:srgbClr val="000000"/>
              </a:solidFill>
              <a:latin typeface="Times New Roman"/>
              <a:cs typeface="Times New Roman"/>
            </a:endParaRPr>
          </a:p>
        </c:rich>
      </c:tx>
      <c:overlay val="0"/>
      <c:spPr>
        <a:prstGeom prst="rect">
          <a:avLst/>
        </a:prstGeom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rstGeom prst="rect">
              <a:avLst/>
            </a:prstGeom>
            <a:solidFill>
              <a:schemeClr val="accent1"/>
            </a:solidFill>
            <a:ln>
              <a:noFill/>
            </a:ln>
          </c:spPr>
          <c:invertIfNegative val="0"/>
          <c:dPt>
            <c:idx val="0"/>
            <c:invertIfNegative val="1"/>
            <c:bubble3D val="0"/>
            <c:spPr>
              <a:prstGeom prst="rect">
                <a:avLst/>
              </a:prstGeom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24F-42D9-8F3D-675439523C25}"/>
              </c:ext>
            </c:extLst>
          </c:dPt>
          <c:dPt>
            <c:idx val="1"/>
            <c:invertIfNegative val="1"/>
            <c:bubble3D val="0"/>
            <c:spPr>
              <a:prstGeom prst="rect">
                <a:avLst/>
              </a:prstGeom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824F-42D9-8F3D-675439523C25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00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'Проценты и графики'!$F$26:$F$28</c:f>
              <c:strCache>
                <c:ptCount val="3"/>
                <c:pt idx="0">
                  <c:v>Памятный подарок (то, что можно долго использовать или даже передать по наследству)</c:v>
                </c:pt>
                <c:pt idx="1">
                  <c:v>Эмоции (например, путешествие)</c:v>
                </c:pt>
                <c:pt idx="2">
                  <c:v>Деньги</c:v>
                </c:pt>
              </c:strCache>
            </c:strRef>
          </c:cat>
          <c:val>
            <c:numRef>
              <c:f>'Проценты и графики'!$G$26:$G$28</c:f>
              <c:numCache>
                <c:formatCode>0%</c:formatCode>
                <c:ptCount val="3"/>
                <c:pt idx="0">
                  <c:v>0.15807962529274006</c:v>
                </c:pt>
                <c:pt idx="1">
                  <c:v>0.25292740046838408</c:v>
                </c:pt>
                <c:pt idx="2">
                  <c:v>0.58899297423887587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4F-42D9-8F3D-675439523C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eparator> </c:separator>
        </c:dLbls>
        <c:gapWidth val="219"/>
        <c:overlap val="-26"/>
        <c:axId val="1866169497"/>
        <c:axId val="1866169498"/>
      </c:barChart>
      <c:catAx>
        <c:axId val="186616949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6169498"/>
        <c:crosses val="autoZero"/>
        <c:auto val="1"/>
        <c:lblAlgn val="ctr"/>
        <c:lblOffset val="100"/>
        <c:tickMarkSkip val="1"/>
        <c:noMultiLvlLbl val="0"/>
      </c:catAx>
      <c:valAx>
        <c:axId val="186616949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10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6169497"/>
        <c:crosses val="autoZero"/>
        <c:crossBetween val="between"/>
      </c:valAx>
      <c:spPr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>
    <a:xfrm>
      <a:off x="0" y="0"/>
      <a:ext cx="5288302" cy="2261647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20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lastModifiedBy>Admin</cp:lastModifiedBy>
  <cp:revision>9</cp:revision>
  <dcterms:created xsi:type="dcterms:W3CDTF">2025-06-19T18:00:00Z</dcterms:created>
  <dcterms:modified xsi:type="dcterms:W3CDTF">2025-07-09T10:21:00Z</dcterms:modified>
</cp:coreProperties>
</file>