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78" w:rsidRDefault="00A55078" w:rsidP="00A55078">
      <w:pPr>
        <w:pStyle w:val="a3"/>
        <w:jc w:val="center"/>
      </w:pPr>
      <w:r>
        <w:rPr>
          <w:rStyle w:val="a4"/>
          <w:sz w:val="18"/>
          <w:szCs w:val="18"/>
        </w:rPr>
        <w:t>КУРГАНСКАЯ ОБЛАСТЬ</w:t>
      </w:r>
    </w:p>
    <w:p w:rsidR="00A55078" w:rsidRDefault="00A55078" w:rsidP="00A55078">
      <w:pPr>
        <w:pStyle w:val="a3"/>
        <w:jc w:val="center"/>
      </w:pPr>
      <w:r>
        <w:rPr>
          <w:rStyle w:val="a4"/>
          <w:sz w:val="18"/>
          <w:szCs w:val="18"/>
        </w:rPr>
        <w:t>ШУМИХИНСКИЙ МУНИЦИПАЛЬНЫЙ ОКРУГ КУРГАНСКОЙ ОБЛАСТИ</w:t>
      </w:r>
    </w:p>
    <w:p w:rsidR="00A55078" w:rsidRDefault="00A55078" w:rsidP="00A55078">
      <w:pPr>
        <w:pStyle w:val="a3"/>
        <w:jc w:val="center"/>
      </w:pPr>
      <w:r>
        <w:rPr>
          <w:rStyle w:val="a4"/>
          <w:sz w:val="18"/>
          <w:szCs w:val="18"/>
        </w:rPr>
        <w:t> </w:t>
      </w:r>
    </w:p>
    <w:p w:rsidR="00A55078" w:rsidRDefault="00A55078" w:rsidP="00A55078">
      <w:pPr>
        <w:pStyle w:val="1"/>
        <w:jc w:val="center"/>
      </w:pPr>
      <w:r>
        <w:rPr>
          <w:sz w:val="18"/>
          <w:szCs w:val="18"/>
        </w:rPr>
        <w:t>ДУМА ШУМИХИНСКОГО МУНИЦИПАЛЬНОГО ОКРУГА</w:t>
      </w:r>
    </w:p>
    <w:p w:rsidR="00A55078" w:rsidRDefault="00A55078" w:rsidP="00A55078">
      <w:pPr>
        <w:pStyle w:val="1"/>
        <w:jc w:val="center"/>
      </w:pPr>
      <w:r>
        <w:rPr>
          <w:sz w:val="18"/>
          <w:szCs w:val="18"/>
        </w:rPr>
        <w:t>КУРГАНСКОЙ ОБЛАСТИ</w:t>
      </w:r>
    </w:p>
    <w:p w:rsidR="00A55078" w:rsidRDefault="00A55078" w:rsidP="00A55078">
      <w:pPr>
        <w:pStyle w:val="a3"/>
        <w:jc w:val="center"/>
      </w:pPr>
      <w:r>
        <w:rPr>
          <w:sz w:val="18"/>
          <w:szCs w:val="18"/>
        </w:rPr>
        <w:t> </w:t>
      </w:r>
    </w:p>
    <w:p w:rsidR="00A55078" w:rsidRDefault="00A55078" w:rsidP="00A55078">
      <w:pPr>
        <w:pStyle w:val="a3"/>
        <w:jc w:val="center"/>
      </w:pPr>
      <w:r>
        <w:rPr>
          <w:rStyle w:val="a4"/>
          <w:sz w:val="18"/>
          <w:szCs w:val="18"/>
        </w:rPr>
        <w:t>РЕШЕНИЕ</w:t>
      </w:r>
    </w:p>
    <w:p w:rsidR="00A55078" w:rsidRDefault="00A55078" w:rsidP="00A55078">
      <w:pPr>
        <w:pStyle w:val="a3"/>
      </w:pPr>
      <w:r>
        <w:rPr>
          <w:rStyle w:val="a4"/>
        </w:rPr>
        <w:t xml:space="preserve">  </w:t>
      </w:r>
    </w:p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</w:pPr>
      <w:r>
        <w:t>  от 26.10.2021 г.  № 179</w:t>
      </w:r>
    </w:p>
    <w:p w:rsidR="00A55078" w:rsidRDefault="00A55078" w:rsidP="00A55078">
      <w:pPr>
        <w:pStyle w:val="a3"/>
      </w:pPr>
      <w:r>
        <w:t>                г. Шумиха</w:t>
      </w:r>
    </w:p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  <w:jc w:val="center"/>
      </w:pPr>
      <w:r>
        <w:rPr>
          <w:rStyle w:val="a4"/>
        </w:rPr>
        <w:t>Отчет об исполнении бюджета Шумихинского муниципального округа Курганской области за 9 месяцев 2021 года</w:t>
      </w:r>
    </w:p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</w:pPr>
      <w:r>
        <w:t>Заслушав информацию заместителя Главы Шумихинского муниципального округа Курганской области, начальника Финансового отдела Администрации Шумихинского муниципального округа Курганской области (</w:t>
      </w:r>
      <w:proofErr w:type="spellStart"/>
      <w:r>
        <w:t>Кульпиной</w:t>
      </w:r>
      <w:proofErr w:type="spellEnd"/>
      <w:r>
        <w:t xml:space="preserve"> Н.П.) «Отчет об исполнении бюджета Шумихинского муниципального округа Курганской области за 9 месяцев 2021 года», Дума Шумихинского муниципального округа Курганской области РЕШИЛА:</w:t>
      </w:r>
    </w:p>
    <w:p w:rsidR="00A55078" w:rsidRDefault="00A55078" w:rsidP="004809C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Информацию «Отчет об исполнении бюджета Шумихинского муниципального округа Курганской области за 9 месяцев 2021 года» принять к сведению.</w:t>
      </w:r>
    </w:p>
    <w:p w:rsidR="00A55078" w:rsidRDefault="00A55078" w:rsidP="004809C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Администрации Шумихинского муниципального округа Курганской области активизировать работу по поступлению собственных доходов и по сокращению недоимки по налогам, зачисляемым в бюджет Шумихинского муниципального округа Курганской области.</w:t>
      </w:r>
    </w:p>
    <w:p w:rsidR="00A55078" w:rsidRDefault="00A55078" w:rsidP="004809C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Обеспечить в первоочередном порядке выплату заработной платы с начислениями, оплату коммунальных услуг, приобретение топлива, продуктов питания и уплату налогов. Обеспечить финансирование расходных обязательств на условиях </w:t>
      </w:r>
      <w:proofErr w:type="spellStart"/>
      <w:r>
        <w:t>софинансирования</w:t>
      </w:r>
      <w:proofErr w:type="spellEnd"/>
      <w:r>
        <w:t xml:space="preserve"> с областным бюджетом.</w:t>
      </w:r>
    </w:p>
    <w:p w:rsidR="00A55078" w:rsidRDefault="00A55078" w:rsidP="004809CB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Разместить отчет</w:t>
      </w:r>
      <w:proofErr w:type="gramEnd"/>
      <w:r>
        <w:t xml:space="preserve"> об исполнении бюджета Шумихинского муниципального округа Курганской области за 9 месяцев 2021 года на официальном сайте муниципального </w:t>
      </w:r>
      <w:r>
        <w:lastRenderedPageBreak/>
        <w:t>образования Шумихинского муниципального округа Курганской области (</w:t>
      </w:r>
      <w:hyperlink r:id="rId5" w:history="1">
        <w:r>
          <w:rPr>
            <w:rStyle w:val="a6"/>
          </w:rPr>
          <w:t>www.45шумиха.рф)</w:t>
        </w:r>
      </w:hyperlink>
      <w:r>
        <w:t>.</w:t>
      </w:r>
    </w:p>
    <w:p w:rsidR="00A55078" w:rsidRDefault="00A55078" w:rsidP="004809CB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Контроль за</w:t>
      </w:r>
      <w:proofErr w:type="gramEnd"/>
      <w:r>
        <w:t xml:space="preserve"> выполнением данного решения возложить на постоянную комиссию по бюджетно-экономической политике.</w:t>
      </w:r>
    </w:p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</w:pPr>
      <w:r>
        <w:t>Председатель Думы</w:t>
      </w:r>
    </w:p>
    <w:p w:rsidR="00A55078" w:rsidRDefault="00A55078" w:rsidP="00A55078">
      <w:pPr>
        <w:pStyle w:val="a3"/>
      </w:pPr>
      <w:r>
        <w:t>Шумихинского муниципального округа</w:t>
      </w:r>
    </w:p>
    <w:p w:rsidR="00A55078" w:rsidRDefault="00A55078" w:rsidP="00A55078">
      <w:pPr>
        <w:pStyle w:val="a3"/>
      </w:pPr>
      <w:r>
        <w:t xml:space="preserve">Курганской области                                                                                                   А.М. </w:t>
      </w:r>
      <w:proofErr w:type="spellStart"/>
      <w:r>
        <w:t>Чичиланов</w:t>
      </w:r>
      <w:proofErr w:type="spellEnd"/>
      <w:r>
        <w:t>        </w:t>
      </w:r>
    </w:p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</w:pPr>
      <w:r>
        <w:t>Глава</w:t>
      </w:r>
    </w:p>
    <w:p w:rsidR="00A55078" w:rsidRDefault="00A55078" w:rsidP="00A55078">
      <w:pPr>
        <w:pStyle w:val="a3"/>
      </w:pPr>
      <w:r>
        <w:t>Шумихинского муниципального округа</w:t>
      </w:r>
    </w:p>
    <w:p w:rsidR="00A55078" w:rsidRDefault="00A55078" w:rsidP="00A55078">
      <w:pPr>
        <w:pStyle w:val="a3"/>
      </w:pPr>
      <w:r>
        <w:t xml:space="preserve">Курганской области                                                                                             С.И. </w:t>
      </w:r>
      <w:proofErr w:type="spellStart"/>
      <w:r>
        <w:t>Максимовских</w:t>
      </w:r>
      <w:proofErr w:type="spellEnd"/>
    </w:p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</w:pPr>
      <w:r>
        <w:t> </w:t>
      </w:r>
    </w:p>
    <w:tbl>
      <w:tblPr>
        <w:tblW w:w="102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4599"/>
        <w:gridCol w:w="1587"/>
        <w:gridCol w:w="1172"/>
        <w:gridCol w:w="1467"/>
        <w:gridCol w:w="110"/>
        <w:gridCol w:w="219"/>
        <w:gridCol w:w="135"/>
      </w:tblGrid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45" w:type="dxa"/>
            <w:gridSpan w:val="5"/>
            <w:vMerge w:val="restart"/>
            <w:vAlign w:val="center"/>
            <w:hideMark/>
          </w:tcPr>
          <w:p w:rsidR="00A55078" w:rsidRDefault="00A55078">
            <w:pPr>
              <w:pStyle w:val="a3"/>
            </w:pPr>
            <w:r>
              <w:rPr>
                <w:rStyle w:val="a4"/>
              </w:rPr>
              <w:t>Исполнение расходов бюджета Шумихинского муниципального округа Курганской области за 9 месяцев 2021 года</w:t>
            </w:r>
          </w:p>
        </w:tc>
        <w:tc>
          <w:tcPr>
            <w:tcW w:w="210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rPr>
                <w:rStyle w:val="a4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rPr>
                <w:rStyle w:val="a4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rPr>
                <w:rStyle w:val="a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45" w:type="dxa"/>
            <w:gridSpan w:val="5"/>
            <w:vAlign w:val="center"/>
            <w:hideMark/>
          </w:tcPr>
          <w:p w:rsidR="00A55078" w:rsidRDefault="00A55078">
            <w:pPr>
              <w:pStyle w:val="a3"/>
            </w:pPr>
            <w:r>
              <w:t>тыс. руб.</w:t>
            </w:r>
          </w:p>
        </w:tc>
        <w:tc>
          <w:tcPr>
            <w:tcW w:w="210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Merge w:val="restart"/>
            <w:vAlign w:val="center"/>
            <w:hideMark/>
          </w:tcPr>
          <w:p w:rsidR="00A55078" w:rsidRDefault="00A55078">
            <w:pPr>
              <w:pStyle w:val="a3"/>
            </w:pPr>
            <w:r>
              <w:t>Разд.</w:t>
            </w:r>
          </w:p>
        </w:tc>
        <w:tc>
          <w:tcPr>
            <w:tcW w:w="4815" w:type="dxa"/>
            <w:vMerge w:val="restart"/>
            <w:vAlign w:val="center"/>
            <w:hideMark/>
          </w:tcPr>
          <w:p w:rsidR="00A55078" w:rsidRDefault="00A55078">
            <w:pPr>
              <w:pStyle w:val="a3"/>
            </w:pPr>
            <w:r>
              <w:t>Наименование показателя</w:t>
            </w:r>
          </w:p>
        </w:tc>
        <w:tc>
          <w:tcPr>
            <w:tcW w:w="1530" w:type="dxa"/>
            <w:vMerge w:val="restart"/>
            <w:vAlign w:val="center"/>
            <w:hideMark/>
          </w:tcPr>
          <w:p w:rsidR="00A55078" w:rsidRDefault="00A55078">
            <w:pPr>
              <w:pStyle w:val="a3"/>
            </w:pPr>
            <w:r>
              <w:t>Уточненная роспись/план</w:t>
            </w:r>
          </w:p>
        </w:tc>
        <w:tc>
          <w:tcPr>
            <w:tcW w:w="1230" w:type="dxa"/>
            <w:vMerge w:val="restart"/>
            <w:vAlign w:val="center"/>
            <w:hideMark/>
          </w:tcPr>
          <w:p w:rsidR="00A55078" w:rsidRDefault="00A55078">
            <w:pPr>
              <w:pStyle w:val="a3"/>
            </w:pPr>
            <w:r>
              <w:t>Касс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асход</w:t>
            </w:r>
          </w:p>
        </w:tc>
        <w:tc>
          <w:tcPr>
            <w:tcW w:w="1470" w:type="dxa"/>
            <w:vMerge w:val="restart"/>
            <w:vAlign w:val="center"/>
            <w:hideMark/>
          </w:tcPr>
          <w:p w:rsidR="00A55078" w:rsidRDefault="00A55078">
            <w:pPr>
              <w:pStyle w:val="a3"/>
            </w:pPr>
            <w:r>
              <w:t>% Исполнения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0100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 ОБЩЕГОСУДАРСТВЕННЫЕ ВОПРОСЫ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39 354,7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24 461,1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62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0102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 xml:space="preserve">      Функционирование высшего должностного лица субъекта Российской </w:t>
            </w:r>
            <w:r>
              <w:lastRenderedPageBreak/>
              <w:t>Федерации и муниципального образования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lastRenderedPageBreak/>
              <w:t>1 460,4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1 056,0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72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lastRenderedPageBreak/>
              <w:t>0104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23 792,1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15 597,7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66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0105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Судебная система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1,4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1,4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0106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8 107,0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5 312,0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66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0107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Обеспечение проведения выборов и референдумов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110,1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110,1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0111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Резервные фонды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60,0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0,0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0113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Другие общегосударственные вопросы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5 823,7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2 383,9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41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0200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 НАЦИОНАЛЬНАЯ ОБОРОНА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0203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Мобилизационная и вневойсковая подготовка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0300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 НАЦИОНАЛЬНАЯ БЕЗОПАСНОСТЬ И ПРАВООХРАНИТЕЛЬНАЯ ДЕЯТЕЛЬНОСТЬ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17 275,7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11 735,8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68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0309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1 642,3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1 011,3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62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0310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t>характера</w:t>
            </w:r>
            <w:proofErr w:type="gramStart"/>
            <w:r>
              <w:t>,п</w:t>
            </w:r>
            <w:proofErr w:type="gramEnd"/>
            <w:r>
              <w:t>ожарная</w:t>
            </w:r>
            <w:proofErr w:type="spellEnd"/>
            <w:r>
              <w:t xml:space="preserve"> безопасность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15 633,4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10 724,5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69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0400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 НАЦИОНАЛЬНАЯ ЭКОНОМИКА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56 229,5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28 671,2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51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0401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 Общеэкономические вопросы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34,3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34,3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0405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Сельское хозяйство и рыболовство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3 027,8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2 104,7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70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0406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Водное хозяйство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8 164,7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2 857,0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35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0409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Дорожное хозяйство (дорожные фонды)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43 772,7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23 468,0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54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0412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Другие вопросы в области национальной экономики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1 230,0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207,2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17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0500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 ЖИЛИЩНО-КОММУНАЛЬНОЕ ХОЗЯЙСТВО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76 403,3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37 017,1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48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0501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Жилищное хозяйство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490,5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471,8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96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lastRenderedPageBreak/>
              <w:t>0502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Коммунальное хозяйство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23 158,1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3 916,9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17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0503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Благоустройство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15 844,4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9 145,1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58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0505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Другие вопросы в области жилищно-коммунального хозяйства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36 910,3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23 483,3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64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0700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 ОБРАЗОВАНИЕ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507 233,0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340 564,4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67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0701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Дошкольное образование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185 037,2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134 925,8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73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0702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Общее образование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238 098,9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146 677,7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62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0703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Дополнительное образование детей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27 957,8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17 687,9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63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0705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Профессиональная подготовка, переподготовка и повышение квалификации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422,7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241,6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57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0707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Молодежная политика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3 505,7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3 453,2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99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0709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Другие вопросы в области образования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52 210,7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37 578,2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72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0800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 КУЛЬТУРА, КИНЕМАТОГРАФИЯ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56 371,1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34 428,6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0801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Культура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51 751,3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30 848,3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0804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Другие вопросы в области культуры, кинематографии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4 619,8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3 580,3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77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1000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 СОЦИАЛЬНАЯ ПОЛИТИКА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33 647,8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25 277,3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75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1001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Пенсионное обеспечение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178,2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178,2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1003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Социальное обеспечение населения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42,0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42,0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1004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Охрана семьи и детства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33 264,8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25 002,4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75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1006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Другие вопросы в области социальной политики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162,8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54,7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34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1100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 ФИЗИЧЕСКАЯ КУЛЬТУРА И СПОРТ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114,1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114,1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1105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     Другие вопросы в области физической культуры и спорта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114,1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114,1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100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pStyle w:val="a3"/>
            </w:pPr>
            <w:r>
              <w:t>ВСЕГО РАСХОДОВ:</w:t>
            </w:r>
          </w:p>
        </w:tc>
        <w:tc>
          <w:tcPr>
            <w:tcW w:w="15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786 629,2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pStyle w:val="a3"/>
            </w:pPr>
            <w:r>
              <w:t>502 269,6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pStyle w:val="a3"/>
            </w:pPr>
            <w:r>
              <w:t>64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55078" w:rsidTr="00A55078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15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90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30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" w:type="dxa"/>
            <w:vAlign w:val="center"/>
            <w:hideMark/>
          </w:tcPr>
          <w:p w:rsidR="00A55078" w:rsidRDefault="00A5507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A55078" w:rsidRDefault="00A55078">
            <w:pPr>
              <w:pStyle w:val="a3"/>
            </w:pPr>
            <w:r>
              <w:t> </w:t>
            </w:r>
          </w:p>
        </w:tc>
      </w:tr>
    </w:tbl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</w:pPr>
      <w:r>
        <w:lastRenderedPageBreak/>
        <w:t> </w:t>
      </w:r>
    </w:p>
    <w:p w:rsidR="00A55078" w:rsidRDefault="00A55078" w:rsidP="00A55078">
      <w:pPr>
        <w:pStyle w:val="a3"/>
      </w:pPr>
      <w:r>
        <w:t> </w:t>
      </w:r>
    </w:p>
    <w:p w:rsidR="00A55078" w:rsidRDefault="00A55078" w:rsidP="00A55078">
      <w:pPr>
        <w:pStyle w:val="a3"/>
      </w:pPr>
      <w:r>
        <w:t> </w:t>
      </w:r>
    </w:p>
    <w:p w:rsidR="004809CB" w:rsidRPr="00A55078" w:rsidRDefault="004809CB" w:rsidP="00A55078"/>
    <w:sectPr w:rsidR="004809CB" w:rsidRPr="00A5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3FB9"/>
    <w:multiLevelType w:val="multilevel"/>
    <w:tmpl w:val="BE8C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87904"/>
    <w:rsid w:val="00034E82"/>
    <w:rsid w:val="00087904"/>
    <w:rsid w:val="000B79A0"/>
    <w:rsid w:val="003021A6"/>
    <w:rsid w:val="00394731"/>
    <w:rsid w:val="004809CB"/>
    <w:rsid w:val="00656828"/>
    <w:rsid w:val="007023C3"/>
    <w:rsid w:val="0070558C"/>
    <w:rsid w:val="008B7784"/>
    <w:rsid w:val="00950CF5"/>
    <w:rsid w:val="00A55078"/>
    <w:rsid w:val="00A9418B"/>
    <w:rsid w:val="00C21950"/>
    <w:rsid w:val="00C52699"/>
    <w:rsid w:val="00C93B14"/>
    <w:rsid w:val="00CF39F3"/>
    <w:rsid w:val="00E102D8"/>
    <w:rsid w:val="00E50272"/>
    <w:rsid w:val="00EA6087"/>
    <w:rsid w:val="00F2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  <w:style w:type="character" w:styleId="a6">
    <w:name w:val="Hyperlink"/>
    <w:basedOn w:val="a0"/>
    <w:uiPriority w:val="99"/>
    <w:semiHidden/>
    <w:unhideWhenUsed/>
    <w:rsid w:val="00CF39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68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3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5&#1096;&#1091;&#1084;&#1080;&#1093;&#1072;.&#1088;&#1092;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4684</Characters>
  <Application>Microsoft Office Word</Application>
  <DocSecurity>0</DocSecurity>
  <Lines>39</Lines>
  <Paragraphs>10</Paragraphs>
  <ScaleCrop>false</ScaleCrop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2022-09-29T12:41:00Z</dcterms:created>
  <dcterms:modified xsi:type="dcterms:W3CDTF">2022-09-29T12:41:00Z</dcterms:modified>
</cp:coreProperties>
</file>