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КУРГАНСКАЯ ОБЛАСТЬ</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ШУМИХИНСКИЙ МУНИЦИПАЛЬНЫЙ ОКРУГ КУРГАНСКОЙ ОБЛАСТИ</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АДМИНИСТРАЦИЯ ШУМИХИНСКОГО МУНИЦИПАЛЬНОГО ОКРУГА</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КУРГАНСКОЙ ОБЛАСТИ</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w:t>
      </w:r>
    </w:p>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ПОСТАНОВЛЕНИЕ</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от  29.03. 2021 г.  № 234</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г. Шумиха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9445"/>
      </w:tblGrid>
      <w:tr w:rsidR="00AD2CAD" w:rsidRPr="00AD2CAD" w:rsidTr="00AD2CAD">
        <w:trPr>
          <w:tblCellSpacing w:w="15" w:type="dxa"/>
        </w:trPr>
        <w:tc>
          <w:tcPr>
            <w:tcW w:w="5000" w:type="pct"/>
            <w:vAlign w:val="center"/>
            <w:hideMark/>
          </w:tcPr>
          <w:p w:rsidR="00AD2CAD" w:rsidRPr="00AD2CAD" w:rsidRDefault="00AD2CAD" w:rsidP="00AD2CAD">
            <w:pPr>
              <w:spacing w:after="0"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r>
      <w:tr w:rsidR="00AD2CAD" w:rsidRPr="00AD2CAD" w:rsidTr="00AD2CAD">
        <w:trPr>
          <w:tblCellSpacing w:w="15" w:type="dxa"/>
        </w:trPr>
        <w:tc>
          <w:tcPr>
            <w:tcW w:w="5000" w:type="pct"/>
            <w:vAlign w:val="center"/>
            <w:hideMark/>
          </w:tcPr>
          <w:p w:rsidR="00AD2CAD" w:rsidRPr="00AD2CAD" w:rsidRDefault="00AD2CAD" w:rsidP="00AD2CAD">
            <w:pPr>
              <w:spacing w:after="0"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r>
      <w:tr w:rsidR="00AD2CAD" w:rsidRPr="00AD2CAD" w:rsidTr="00AD2CAD">
        <w:trPr>
          <w:tblCellSpacing w:w="15" w:type="dxa"/>
        </w:trPr>
        <w:tc>
          <w:tcPr>
            <w:tcW w:w="5000" w:type="pct"/>
            <w:vAlign w:val="center"/>
            <w:hideMark/>
          </w:tcPr>
          <w:p w:rsidR="00AD2CAD" w:rsidRPr="00AD2CAD" w:rsidRDefault="00AD2CAD" w:rsidP="00AD2CAD">
            <w:pPr>
              <w:spacing w:before="100" w:beforeAutospacing="1" w:after="100" w:afterAutospacing="1" w:line="240" w:lineRule="auto"/>
              <w:jc w:val="center"/>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   Об утверждении Порядка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w:t>
            </w:r>
          </w:p>
        </w:tc>
      </w:tr>
      <w:tr w:rsidR="00AD2CAD" w:rsidRPr="00AD2CAD" w:rsidTr="00AD2CAD">
        <w:trPr>
          <w:tblCellSpacing w:w="15" w:type="dxa"/>
        </w:trPr>
        <w:tc>
          <w:tcPr>
            <w:tcW w:w="5000" w:type="pct"/>
            <w:vAlign w:val="center"/>
            <w:hideMark/>
          </w:tcPr>
          <w:p w:rsidR="00AD2CAD" w:rsidRPr="00AD2CAD" w:rsidRDefault="00AD2CAD" w:rsidP="00AD2CAD">
            <w:pPr>
              <w:spacing w:after="0"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r>
    </w:tbl>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соответствии со статьей 174</w:t>
      </w:r>
      <w:r w:rsidRPr="00AD2CAD">
        <w:rPr>
          <w:rFonts w:ascii="Times New Roman" w:eastAsia="Times New Roman" w:hAnsi="Times New Roman" w:cs="Times New Roman"/>
          <w:sz w:val="24"/>
          <w:szCs w:val="24"/>
          <w:vertAlign w:val="superscript"/>
        </w:rPr>
        <w:t>3</w:t>
      </w:r>
      <w:r w:rsidRPr="00AD2CAD">
        <w:rPr>
          <w:rFonts w:ascii="Times New Roman" w:eastAsia="Times New Roman" w:hAnsi="Times New Roman" w:cs="Times New Roman"/>
          <w:sz w:val="24"/>
          <w:szCs w:val="24"/>
        </w:rPr>
        <w:t xml:space="preserve"> Бюджетного кодекса Российской Федерации,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Администрация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ПОСТАНОВЛЯЕТ:</w:t>
      </w:r>
    </w:p>
    <w:p w:rsidR="00AD2CAD" w:rsidRPr="00AD2CAD" w:rsidRDefault="00AD2CAD" w:rsidP="00E35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Утвердить Порядок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 согласно приложению к настоящему постановлению.</w:t>
      </w:r>
    </w:p>
    <w:p w:rsidR="00AD2CAD" w:rsidRPr="00AD2CAD" w:rsidRDefault="00AD2CAD" w:rsidP="00E35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AD2CAD" w:rsidRPr="00AD2CAD" w:rsidRDefault="00AD2CAD" w:rsidP="00E353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Глава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Шумихинского муниципального округа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Курганской области                                                                                       С.И. Максимовских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Приложение к постановлению Администрации Шумихинского муниципального округа Курганской области от 29.03.2021г. № 234 «Об утверждении  Порядка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Порядок</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w:t>
      </w:r>
    </w:p>
    <w:p w:rsidR="00AD2CAD" w:rsidRPr="00AD2CAD" w:rsidRDefault="00AD2CAD" w:rsidP="00E35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I.Общие положения</w:t>
      </w:r>
    </w:p>
    <w:p w:rsidR="00AD2CAD" w:rsidRPr="00AD2CAD" w:rsidRDefault="00AD2CAD" w:rsidP="00E35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Настоящий Порядок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 (далее — Порядок) определяет правила формирования перечня налоговых расходов Шумихинского муниципального округа Курганской области, правила формирования информации о нормативных, целевых и фискальных характеристиках налоговых расходов Шумихинского муниципального округа Курганской области и порядок оценки налоговых расходов Шумихинского муниципального округа Курганской области.</w:t>
      </w:r>
    </w:p>
    <w:p w:rsidR="00AD2CAD" w:rsidRPr="00AD2CAD" w:rsidRDefault="00AD2CAD" w:rsidP="00E353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целях настоящего Порядка используются следующие понятия и термины:</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налоговые расходы  Шумихинского муниципального округа Курганской области - выпадающие доходы бюджета Шумихинского муниципального округа Курганской области, обусловленные налоговыми льготами, освобождениями и иными преференциями по местным налогам, предусмотренные муниципальными правовыми актами  Шумихинского муниципального округа Курганской области в соответствии с целями муниципальных программ и (или) целями социально-экономической политики Шумихинского муниципального округа Курганской области, не относящимися к муниципальным программам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социальные налоговые расходы Шумихинского муниципального округа Курганской области – целевая категория налоговых расходов, обусловленных необходимостью обеспечения социальной защиты (поддержки) населения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стимулирующие налоговые расходы  Шумихинского муниципального округа Курганской области – целевая категория налоговых расходов, предполагающих стимулирование экономической активности субъектов предпринимательской деятельности на территории Шумихинского муниципального округа Курганской области  и последующее увеличение доходов бюджета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технические налоговые расходы Шумихинского муниципального округа Курганской области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Шумихинского муниципального округа Курганской области  (далее —Перечень) - документ, содержащий сведения о распределении налоговых расходов Шумихинского муниципального округа Курганской области в соответствии с целями муниципальных программ,</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структурных элементов муниципальных программ (подпрограмм) и (или) целями социально-экономической политики Шумихинского муниципального округа Курганской области, не относящимися к муниципальным программам Шумихинского муниципального округа Курганской области, а также о кураторах налоговых расходов;</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 — Администрация Шумихинского муниципального округа Курганской области, ответственный в соответствии с полномочиями, установленными муниципальными правовыми актами Шумихинского муниципального округа Курганской области, за достижение соответствующих налоговому расходу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Иные понятия и термины, используемые в настоящем Порядке, применяются в значениях, определенных Налоговым кодексом Российской Федерации и общими </w:t>
      </w:r>
      <w:hyperlink r:id="rId5" w:history="1">
        <w:r w:rsidRPr="00AD2CAD">
          <w:rPr>
            <w:rFonts w:ascii="Times New Roman" w:eastAsia="Times New Roman" w:hAnsi="Times New Roman" w:cs="Times New Roman"/>
            <w:color w:val="0000FF"/>
            <w:sz w:val="24"/>
            <w:szCs w:val="24"/>
            <w:u w:val="single"/>
          </w:rPr>
          <w:t>требованиями</w:t>
        </w:r>
      </w:hyperlink>
      <w:r w:rsidRPr="00AD2CAD">
        <w:rPr>
          <w:rFonts w:ascii="Times New Roman" w:eastAsia="Times New Roman" w:hAnsi="Times New Roman" w:cs="Times New Roman"/>
          <w:sz w:val="24"/>
          <w:szCs w:val="24"/>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(далее - Общие требования).</w:t>
      </w:r>
    </w:p>
    <w:p w:rsidR="00AD2CAD" w:rsidRPr="00AD2CAD" w:rsidRDefault="00AD2CAD" w:rsidP="00E35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lastRenderedPageBreak/>
        <w:t>II. Порядок формирования Перечня</w:t>
      </w:r>
    </w:p>
    <w:p w:rsidR="00AD2CAD" w:rsidRPr="00AD2CAD" w:rsidRDefault="00AD2CAD" w:rsidP="00E35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Финансовый отдел Администрации Шумихинского муниципального округа Курганской области (далее — уполномоченный орган) ежегодно, в срок до 1 апреля текущего финансового года, формирует проект Перечня на очередной финансовый год и плановый период по форме согласно приложению 1 к настоящему Порядку и направляет на согласование кураторам налоговых расходов.</w:t>
      </w:r>
    </w:p>
    <w:p w:rsidR="00AD2CAD" w:rsidRPr="00AD2CAD" w:rsidRDefault="00AD2CAD" w:rsidP="00E353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Кураторы налоговых расходов до 1 мая текущего финансового года рассматривают проект Перечня на предмет распределения налоговых расходов Шумихинского муниципального округа Курганской области в соответствии с целями муниципальных программ (подпрограмм) и (или) целями социально-экономической политики Шумихинского муниципального округа Курганской области, не относящимися к муниципальным программам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Замечания и предложения по уточнению проекта Перечня направляются в уполномоченный орган.</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уполномоченный орган в течение срока, указанного в абзаце первом настоящего пункта.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При наличии разногласий по проекту Перечня уполномоченный орган обеспечивает проведение согласительных совещаний с соответствующими кураторами налоговых расходов - до 25 мая текущего финансового года.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случае если результаты рассмотрения проекта Перечня не направлены соответствующим куратором налоговых расходов в уполномоченный орган в течение срока, указанного в абзаце первом настоящего пункта, проект Перечня считается согласованным соответствующим куратором налоговых расходов.</w:t>
      </w:r>
    </w:p>
    <w:p w:rsidR="00AD2CAD" w:rsidRPr="00AD2CAD" w:rsidRDefault="00AD2CAD" w:rsidP="00E35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утверждается правовым актом уполномоченного органа в срок до 1 июня текущего финансового года и в течение 5 рабочих дней со дня утверждения размещается на официальном сайте уполномоченного органа в информационно-телекоммуникационной сети «Интернет» (далее - сайт).</w:t>
      </w:r>
    </w:p>
    <w:p w:rsidR="00AD2CAD" w:rsidRPr="00AD2CAD" w:rsidRDefault="00AD2CAD" w:rsidP="00E353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случае принятия муниципальных правовых актов, предусматривающих изменение информации, включенной в Перечень, кураторы налоговых расходов в течение 10 рабочих дней с даты вступления их в силу направляют в уполномоченный орган информацию для уточнения Перечня.</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Уполномоченный орган в течение 10 рабочих дней со дня получения от кураторов налоговых расходов вышеуказанной информации формирует, утверждает и размещает на сайте уточненный Перечень.</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III. Формирование информации о нормативных, целевых и фискальных характеристиках налоговых расходов</w:t>
      </w:r>
    </w:p>
    <w:p w:rsidR="00AD2CAD" w:rsidRPr="00AD2CAD" w:rsidRDefault="00AD2CAD" w:rsidP="00E35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Формирование информации о нормативных, целевых и фискальных характеристиках налоговых расходов в целях оценки налоговых расходов осуществляется кураторами налоговых расходов в соответствии с </w:t>
      </w:r>
      <w:hyperlink w:anchor="P183" w:history="1">
        <w:r w:rsidRPr="00AD2CAD">
          <w:rPr>
            <w:rFonts w:ascii="Times New Roman" w:eastAsia="Times New Roman" w:hAnsi="Times New Roman" w:cs="Times New Roman"/>
            <w:color w:val="0000FF"/>
            <w:sz w:val="24"/>
            <w:szCs w:val="24"/>
            <w:u w:val="single"/>
          </w:rPr>
          <w:t>перечнем</w:t>
        </w:r>
      </w:hyperlink>
      <w:r w:rsidRPr="00AD2CAD">
        <w:rPr>
          <w:rFonts w:ascii="Times New Roman" w:eastAsia="Times New Roman" w:hAnsi="Times New Roman" w:cs="Times New Roman"/>
          <w:sz w:val="24"/>
          <w:szCs w:val="24"/>
        </w:rPr>
        <w:t xml:space="preserve"> показателей для проведения оценки налоговых расходов Шумихинского </w:t>
      </w:r>
      <w:r w:rsidRPr="00AD2CAD">
        <w:rPr>
          <w:rFonts w:ascii="Times New Roman" w:eastAsia="Times New Roman" w:hAnsi="Times New Roman" w:cs="Times New Roman"/>
          <w:sz w:val="24"/>
          <w:szCs w:val="24"/>
        </w:rPr>
        <w:lastRenderedPageBreak/>
        <w:t>муниципального округа Курганской области согласно приложению 2 к настоящему Порядку.</w:t>
      </w:r>
    </w:p>
    <w:p w:rsidR="00AD2CAD" w:rsidRPr="00AD2CAD" w:rsidRDefault="00AD2CAD" w:rsidP="00E35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Информация о нормативных, целевых и фискальных характеристиках формируется в отношении каждого налогового расхода, включенного в Перечень на очередной финансовый год и плановый период.</w:t>
      </w:r>
    </w:p>
    <w:p w:rsidR="00AD2CAD" w:rsidRPr="00AD2CAD" w:rsidRDefault="00AD2CAD" w:rsidP="00E35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C целью получения фискальных характеристик налоговых расходов уполномоченный орган ежегодно, в срок до 1 февраля текущего финансового года, направляет в Управление Федеральной налоговой службы по Курганской области (далее - УФНС России по Курганской области) сведения о категориях плательщиков с указанием муниципальных правовых актов Шумихинского муниципального округа Курганской области, обусловливающих соответствующие налоговые расходы, в том числе действовавших в отчетном году и в году, предшествующем отчетному году.</w:t>
      </w:r>
    </w:p>
    <w:p w:rsidR="00AD2CAD" w:rsidRPr="00AD2CAD" w:rsidRDefault="00AD2CAD" w:rsidP="00E35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Уполномоченный орган до 15 апреля текущего финансового года формирует и направляет кураторам налоговых расходов сведения об объеме налоговых расходов за финансовый год, предшествующий отчетному финансовый году, оценку объемов налоговых расходов за отчетный финансовый год, прогнозные данные на текущий финансовый год, очередной финансовый год и на плановый период, а также информацию о значениях фискальных характеристик налоговых расходов на основании информации УФНС России по Курганской области, представленной в соответствии с Общими требованиями.</w:t>
      </w:r>
    </w:p>
    <w:p w:rsidR="00AD2CAD" w:rsidRPr="00AD2CAD" w:rsidRDefault="00AD2CAD" w:rsidP="00E353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Информация о нормативных, целевых и фискальных характеристиках налоговых расходов представляется кураторами налоговых расходов в уполномоченный орган в срок до 1 мая текущего финансового года.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Сводная информация о нормативных, целевых и фискальных характеристиках налоговых расходов Шумихинского муниципального округа Курганской области формируется уполномоченным органом в срок до 1 июня текущего финансового года и содержит показатели согласно приложению 2 к настоящему Порядку.</w:t>
      </w:r>
    </w:p>
    <w:p w:rsidR="00AD2CAD" w:rsidRPr="00AD2CAD" w:rsidRDefault="00AD2CAD" w:rsidP="00E35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IV. Оценка налоговых расходов и формирование предложений по сохранению, уточнению (отмене) налоговых расходов, установлению нового налогового расхода</w:t>
      </w:r>
    </w:p>
    <w:p w:rsidR="00AD2CAD" w:rsidRPr="00AD2CAD" w:rsidRDefault="00AD2CAD" w:rsidP="00E35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 основании информации о нормативных, целевых и фискальных характеристиках налоговых расходов кураторы налоговых расходов ежегодно до 1 мая текущего финансового года осуществляют оценку эффективности налоговых расходов по каждому налоговому расходу.</w:t>
      </w:r>
    </w:p>
    <w:p w:rsidR="00AD2CAD" w:rsidRPr="00AD2CAD" w:rsidRDefault="00AD2CAD" w:rsidP="00E353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Оценка налоговых расходов включает:</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оценку объемов налоговых расходов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оценку эффективности налоговых расходов Шумихинского муниципального округа Курганской области.</w:t>
      </w:r>
    </w:p>
    <w:p w:rsidR="00AD2CAD" w:rsidRPr="00AD2CAD" w:rsidRDefault="00AD2CAD" w:rsidP="00E35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Оценка эффективности налоговых расходов включает оценку целесообразности и оценку результативности налоговых расходов.</w:t>
      </w:r>
    </w:p>
    <w:p w:rsidR="00AD2CAD" w:rsidRPr="00AD2CAD" w:rsidRDefault="00AD2CAD" w:rsidP="00E353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Критериями целесообразности налоговых расходов являются:</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1) соответствие налоговых расходов целям муниципальных программ, (подпрограмм) и (или) целям социально-экономической политики Шумихинского муниципального округа </w:t>
      </w:r>
      <w:r w:rsidRPr="00AD2CAD">
        <w:rPr>
          <w:rFonts w:ascii="Times New Roman" w:eastAsia="Times New Roman" w:hAnsi="Times New Roman" w:cs="Times New Roman"/>
          <w:sz w:val="24"/>
          <w:szCs w:val="24"/>
        </w:rPr>
        <w:lastRenderedPageBreak/>
        <w:t>Курганской области, не относящимся к муниципальным программам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AD2CAD" w:rsidRPr="00AD2CAD" w:rsidRDefault="00AD2CAD" w:rsidP="00E3530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случае несоответствия налоговых расходов хотя бы одному из критериев, указанных в пункте 15 настоящего Порядка, куратор налогового расхода представляет в уполномоченный орган до 1 мая текущего финансового года предложения о сохранении (уточнении, отмене) льгот для плательщиков.</w:t>
      </w:r>
    </w:p>
    <w:p w:rsidR="00AD2CAD" w:rsidRPr="00AD2CAD" w:rsidRDefault="00AD2CAD" w:rsidP="00E3530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качестве критерия результативности налогового расхода определяется как минимум один показатель (индикатор) достижения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 либо иной показатель (индикатор), на значение которого оказывают влияние налоговые расходы.</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 ,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AD2CAD" w:rsidRPr="00AD2CAD" w:rsidRDefault="00AD2CAD" w:rsidP="00E3530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Оценка результативности налоговых расходов включает оценку бюджетной эффективности налоговых расходов.</w:t>
      </w:r>
    </w:p>
    <w:p w:rsidR="00AD2CAD" w:rsidRPr="00AD2CAD" w:rsidRDefault="00AD2CAD" w:rsidP="00E3530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w:t>
      </w:r>
    </w:p>
    <w:p w:rsidR="00AD2CAD" w:rsidRPr="00AD2CAD" w:rsidRDefault="00AD2CAD" w:rsidP="00E3530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Сравнительный анализ включает сравнение объемов расходов бюджета</w:t>
      </w:r>
      <w:r w:rsidRPr="00AD2CAD">
        <w:rPr>
          <w:rFonts w:ascii="Times New Roman" w:eastAsia="Times New Roman" w:hAnsi="Times New Roman" w:cs="Times New Roman"/>
          <w:sz w:val="24"/>
          <w:szCs w:val="24"/>
        </w:rPr>
        <w:br/>
        <w:t>Шумихинского муниципального округа Курганской области в случае применения альтернативных механизмов достижения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 и объемов предоставленных льгот (расчет прироста показателя (индикатора) достижения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 на 1 рубль налоговых расходов и на 1 рубль расходов бюджета Шумихинского муниципального округа Курганской области для достижения того же показателя (индикатора) в случае применения альтернативных механизмов).</w:t>
      </w:r>
    </w:p>
    <w:p w:rsidR="00AD2CAD" w:rsidRPr="00AD2CAD" w:rsidRDefault="00AD2CAD" w:rsidP="00E3530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В качестве альтернативных механизмов достижения целей муниципальной программы (подпрограммы) и (или) целей социально-экономической политики </w:t>
      </w:r>
      <w:r w:rsidRPr="00AD2CAD">
        <w:rPr>
          <w:rFonts w:ascii="Times New Roman" w:eastAsia="Times New Roman" w:hAnsi="Times New Roman" w:cs="Times New Roman"/>
          <w:sz w:val="24"/>
          <w:szCs w:val="24"/>
        </w:rPr>
        <w:lastRenderedPageBreak/>
        <w:t>Шумихинского муниципального округа Курганской области, не относящихся к муниципальным программам Шумихинского муниципального округа Курганской области, могут учитываться в том числе:</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субсидии или иные формы непосредственной финансовой поддержки плательщиков, имеющих право на льготы, за счет средств бюджета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предоставление муниципальных гарантий по обязательствам плательщиков, имеющих право на льготы;</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D2CAD" w:rsidRPr="00AD2CAD" w:rsidRDefault="00AD2CAD" w:rsidP="00E353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Оценка эффективности налоговых расходов проводится:</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на стадии принятия решения о целесообразности и возможности установления льготы и необходимости подготовки проекта муниципального правового акта, устанавливающего льготу (налоговый расход);</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ежегодно в сроки, предусмотренные пунктом 12 настоящего Порядка, в отношении льгот, действующих в соответствии с муниципальными правовыми актами Шумихинского муниципального округа Курганской области, за финансовый год, предшествующий отчетному финансовому году.</w:t>
      </w:r>
    </w:p>
    <w:p w:rsidR="00AD2CAD" w:rsidRPr="00AD2CAD" w:rsidRDefault="00AD2CAD" w:rsidP="00E3530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По итогам оценки эффективности налогового расхода куратор налогового расхода формирует информацию о результатах оценки эффективности налоговых расходов, содержащую:</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выводы о достижении (не достижении) целевых характеристик налогового расхода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выводы о вкладе налогового расхода в достижение целей муниципальной программы (подпрограммы)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выводы о наличии (отсутствии) более результативных (менее затратных для бюджета Шумихинского муниципального округа Курганской области) альтернативных механизмов достижения целей муниципальной программы и (или) целей социально-экономической политики Шумихинского муниципального округа Курганской области, не относящихся к муниципальным программам;</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предложения о сохранении (уточнении, отмене), предоставленных плательщикам льгот, об установлении нового налогового расхода.</w:t>
      </w:r>
    </w:p>
    <w:p w:rsidR="00AD2CAD" w:rsidRPr="00AD2CAD" w:rsidRDefault="00AD2CAD" w:rsidP="00E3530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Информация о результатах оценки эффективности налоговых расходов направляется кураторами налоговых расходов в уполномоченный орган до 1 мая текущего финансового года.</w:t>
      </w:r>
    </w:p>
    <w:p w:rsidR="00AD2CAD" w:rsidRPr="00AD2CAD" w:rsidRDefault="00AD2CAD" w:rsidP="00E3530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Уполномоченный орган формирует итоговую оценку эффективности налоговых расходов в срок до 1 июня текущего финансового года.</w:t>
      </w:r>
    </w:p>
    <w:p w:rsidR="00AD2CAD" w:rsidRPr="00AD2CAD" w:rsidRDefault="00AD2CAD" w:rsidP="00E3530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Итоговая оценка эффективности налоговых расходов в течение 5 рабочих дней со дня ее формирования размещается на сайте уполномоченного органа и учитывается при формировании основных направлений бюджетной и налоговой политики Шумихинского муниципального округа Курганской области, а также при проведении оценки эффективности реализации муниципальных программ.</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150"/>
      </w:tblGrid>
      <w:tr w:rsidR="00AD2CAD" w:rsidRPr="00AD2CAD" w:rsidTr="00AD2CAD">
        <w:trPr>
          <w:tblCellSpacing w:w="15" w:type="dxa"/>
        </w:trPr>
        <w:tc>
          <w:tcPr>
            <w:tcW w:w="3090"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Приложение 1</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к Порядку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r>
    </w:tbl>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ПЕРЕЧЕНЬ</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налоговых расходов Шумихинского муниципального округа Курганской области</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на очередной финансовый год и плановый период</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291"/>
        <w:gridCol w:w="1060"/>
        <w:gridCol w:w="870"/>
        <w:gridCol w:w="1113"/>
        <w:gridCol w:w="1088"/>
        <w:gridCol w:w="950"/>
        <w:gridCol w:w="824"/>
        <w:gridCol w:w="1205"/>
        <w:gridCol w:w="1205"/>
        <w:gridCol w:w="839"/>
      </w:tblGrid>
      <w:tr w:rsidR="00AD2CAD" w:rsidRPr="00AD2CAD" w:rsidTr="00AD2CAD">
        <w:trPr>
          <w:tblCellSpacing w:w="15" w:type="dxa"/>
        </w:trPr>
        <w:tc>
          <w:tcPr>
            <w:tcW w:w="1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п/п</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Наименование налога, по которому предусматри-ваются налоговые расходы</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Наименова-ние налогового расхода</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Реквизиты муниципально-го правового акта, которым устанавливает-ся налоговая льгота </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Целевая категория плательщиков налога, для которых предусмотрена налоговая льгота</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Цели предоставле-ния налогового расхода</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Целевая категория налогового расхода</w:t>
            </w:r>
          </w:p>
        </w:tc>
        <w:tc>
          <w:tcPr>
            <w:tcW w:w="6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Наименование муниципальной</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программы / документа отражающего цель социально-</w:t>
            </w:r>
            <w:r w:rsidRPr="00AD2CAD">
              <w:rPr>
                <w:rFonts w:ascii="Times New Roman" w:eastAsia="Times New Roman" w:hAnsi="Times New Roman" w:cs="Times New Roman"/>
                <w:sz w:val="24"/>
                <w:szCs w:val="24"/>
              </w:rPr>
              <w:lastRenderedPageBreak/>
              <w:t>экономического развития муниципального образования</w:t>
            </w:r>
          </w:p>
        </w:tc>
        <w:tc>
          <w:tcPr>
            <w:tcW w:w="6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 xml:space="preserve">Наименование структурного элемента муниципальной программы / документа отражающего цель </w:t>
            </w:r>
            <w:r w:rsidRPr="00AD2CAD">
              <w:rPr>
                <w:rFonts w:ascii="Times New Roman" w:eastAsia="Times New Roman" w:hAnsi="Times New Roman" w:cs="Times New Roman"/>
                <w:sz w:val="24"/>
                <w:szCs w:val="24"/>
              </w:rPr>
              <w:lastRenderedPageBreak/>
              <w:t>социально-экономического развития муниципального образования</w:t>
            </w:r>
          </w:p>
        </w:tc>
        <w:tc>
          <w:tcPr>
            <w:tcW w:w="4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Куратор налогового расхода</w:t>
            </w:r>
          </w:p>
        </w:tc>
      </w:tr>
      <w:tr w:rsidR="00AD2CAD" w:rsidRPr="00AD2CAD" w:rsidTr="00AD2CAD">
        <w:trPr>
          <w:tblCellSpacing w:w="15" w:type="dxa"/>
        </w:trPr>
        <w:tc>
          <w:tcPr>
            <w:tcW w:w="1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1</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3</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4</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5</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6</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7</w:t>
            </w:r>
          </w:p>
        </w:tc>
        <w:tc>
          <w:tcPr>
            <w:tcW w:w="6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8</w:t>
            </w:r>
          </w:p>
        </w:tc>
        <w:tc>
          <w:tcPr>
            <w:tcW w:w="6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9</w:t>
            </w:r>
          </w:p>
        </w:tc>
        <w:tc>
          <w:tcPr>
            <w:tcW w:w="4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10</w:t>
            </w:r>
          </w:p>
        </w:tc>
      </w:tr>
      <w:tr w:rsidR="00AD2CAD" w:rsidRPr="00AD2CAD" w:rsidTr="00AD2CAD">
        <w:trPr>
          <w:tblCellSpacing w:w="15" w:type="dxa"/>
        </w:trPr>
        <w:tc>
          <w:tcPr>
            <w:tcW w:w="150" w:type="pct"/>
            <w:vAlign w:val="center"/>
            <w:hideMark/>
          </w:tcPr>
          <w:p w:rsidR="00AD2CAD" w:rsidRPr="00AD2CAD" w:rsidRDefault="00AD2CAD" w:rsidP="00AD2CAD">
            <w:pPr>
              <w:spacing w:after="0"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00" w:type="pct"/>
            <w:vAlign w:val="center"/>
            <w:hideMark/>
          </w:tcPr>
          <w:p w:rsidR="00AD2CAD" w:rsidRPr="00AD2CAD" w:rsidRDefault="00AD2CAD" w:rsidP="00AD2CAD">
            <w:pPr>
              <w:spacing w:after="0"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5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60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6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c>
          <w:tcPr>
            <w:tcW w:w="450" w:type="pct"/>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c>
      </w:tr>
    </w:tbl>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285"/>
      </w:tblGrid>
      <w:tr w:rsidR="00AD2CAD" w:rsidRPr="00AD2CAD" w:rsidTr="00AD2CAD">
        <w:trPr>
          <w:tblCellSpacing w:w="15" w:type="dxa"/>
        </w:trPr>
        <w:tc>
          <w:tcPr>
            <w:tcW w:w="322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Приложение 2</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 Порядку формирования перечня налоговых расходов Шумихинского муниципального округа Курганской области и оценки налоговых расходов Шумихинского муниципального округа Курганской области </w:t>
            </w:r>
          </w:p>
        </w:tc>
      </w:tr>
    </w:tbl>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ПЕРЕЧЕНЬ</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b/>
          <w:bCs/>
          <w:sz w:val="24"/>
          <w:szCs w:val="24"/>
        </w:rPr>
        <w:t>ПОКАЗАТЕЛЕЙ ДЛЯ ПРОВЕДЕНИЯ ОЦЕНКИ НАЛОГОВЫХ РАСХОДОВ</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tbl>
      <w:tblPr>
        <w:tblW w:w="9915" w:type="dxa"/>
        <w:tblCellSpacing w:w="15" w:type="dxa"/>
        <w:tblCellMar>
          <w:top w:w="15" w:type="dxa"/>
          <w:left w:w="15" w:type="dxa"/>
          <w:bottom w:w="15" w:type="dxa"/>
          <w:right w:w="15" w:type="dxa"/>
        </w:tblCellMar>
        <w:tblLook w:val="04A0"/>
      </w:tblPr>
      <w:tblGrid>
        <w:gridCol w:w="596"/>
        <w:gridCol w:w="6336"/>
        <w:gridCol w:w="2983"/>
      </w:tblGrid>
      <w:tr w:rsidR="00AD2CAD" w:rsidRPr="00AD2CAD" w:rsidTr="00AD2CAD">
        <w:trPr>
          <w:tblCellSpacing w:w="15" w:type="dxa"/>
        </w:trPr>
        <w:tc>
          <w:tcPr>
            <w:tcW w:w="6930" w:type="dxa"/>
            <w:gridSpan w:val="2"/>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Предоставляемая информация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Источник данных</w:t>
            </w:r>
          </w:p>
        </w:tc>
      </w:tr>
      <w:tr w:rsidR="00AD2CAD" w:rsidRPr="00AD2CAD" w:rsidTr="00AD2CAD">
        <w:trPr>
          <w:tblCellSpacing w:w="15" w:type="dxa"/>
        </w:trPr>
        <w:tc>
          <w:tcPr>
            <w:tcW w:w="9885" w:type="dxa"/>
            <w:gridSpan w:val="3"/>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I. Нормативные характеристики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1</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3</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Наименование налога, по которому предусматриваются налоговые льготы, освобождения и иные преференции, установленные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Шумихинского муниципального округа Курганской области</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Муниципальный правовой акт муниципального образования, его структурные единицы, которым предусматриваются налоговые льготы, освобождения и иные преференции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3.</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Условия предоставления налоговых льгот, освобождений и иных преференций для плательщиков налогов, установленные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4.</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Целевая категория плательщиков налогов, для которых предусмотрены налоговые льготы, освобождения и иные преференции, установленные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5.</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Дата вступления в силу положений муниципального правового акта муниципального образования, устанавливающих налоговые льготы, освобождения и иные преференции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6.</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Дата начала действия предоставленного муниципальным правовым актом муниципального образования права на налоговые льготы, освобождения и иные преференции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7.</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Период действия налоговых льгот, освобождений и иных преференций по налогу, предоставленных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8.</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Дата прекращения действия налоговых льгот, освобождений и иных преференций по налогу, установленная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9885" w:type="dxa"/>
            <w:gridSpan w:val="3"/>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II. Целевые характеристики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9.</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Наименование налоговых льгот, освобождений и иных преференций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10.</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Целевая категория налогового расхода</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11.</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Цели предоставления налоговых льгот, освобождений и иных преференций для плательщиков налога, установленных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Перечень налоговых расходов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12.</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13.</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lastRenderedPageBreak/>
              <w:t>14.</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Показатель (индикатор)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по налогу</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15.</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Код вида экономической деятельности (по </w:t>
            </w:r>
            <w:hyperlink r:id="rId6" w:history="1">
              <w:r w:rsidRPr="00AD2CAD">
                <w:rPr>
                  <w:rFonts w:ascii="Times New Roman" w:eastAsia="Times New Roman" w:hAnsi="Times New Roman" w:cs="Times New Roman"/>
                  <w:color w:val="0000FF"/>
                  <w:sz w:val="24"/>
                  <w:szCs w:val="24"/>
                  <w:u w:val="single"/>
                </w:rPr>
                <w:t>ОКВЭД</w:t>
              </w:r>
            </w:hyperlink>
            <w:r w:rsidRPr="00AD2CAD">
              <w:rPr>
                <w:rFonts w:ascii="Times New Roman" w:eastAsia="Times New Roman" w:hAnsi="Times New Roman" w:cs="Times New Roman"/>
                <w:sz w:val="24"/>
                <w:szCs w:val="24"/>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16.</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xml:space="preserve">Принадлежность налогового расхода к группе полномочий в соответствии с </w:t>
            </w:r>
            <w:hyperlink r:id="rId7" w:history="1">
              <w:r w:rsidRPr="00AD2CAD">
                <w:rPr>
                  <w:rFonts w:ascii="Times New Roman" w:eastAsia="Times New Roman" w:hAnsi="Times New Roman" w:cs="Times New Roman"/>
                  <w:color w:val="0000FF"/>
                  <w:sz w:val="24"/>
                  <w:szCs w:val="24"/>
                  <w:u w:val="single"/>
                </w:rPr>
                <w:t>методикой</w:t>
              </w:r>
            </w:hyperlink>
            <w:r w:rsidRPr="00AD2CAD">
              <w:rPr>
                <w:rFonts w:ascii="Times New Roman" w:eastAsia="Times New Roman" w:hAnsi="Times New Roman" w:cs="Times New Roman"/>
                <w:sz w:val="24"/>
                <w:szCs w:val="24"/>
              </w:rPr>
              <w:t xml:space="preserve"> распределения дотаций, утвержденной 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r w:rsidR="00AD2CAD" w:rsidRPr="00AD2CAD" w:rsidTr="00AD2CAD">
        <w:trPr>
          <w:tblCellSpacing w:w="15" w:type="dxa"/>
        </w:trPr>
        <w:tc>
          <w:tcPr>
            <w:tcW w:w="9885" w:type="dxa"/>
            <w:gridSpan w:val="3"/>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III. Фискальные характеристики налогового расхода муниципального образования</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17.</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Объем налоговых льгот, освобождений и иных преференций, предоставленных для плательщиков налога, в соответствии с муниципальным правовым актом муниципального образования (тыс. рублей)</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УФНС России по Курганской области (по согласованию)</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18.</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Оценка объема предоставленных налоговых льгот, освобождений и иных преференций для плательщиков налога на текущий финансовый год, очередной финансовый год и плановый период (тыс. рублей)</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Уполномоченный орган</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19.</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Численность плательщиков налога, воспользовавшихся налоговой льготой, освобождением и иной преференцией (единиц), установленными муниципальным правовым актом муниципального образования</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УФНС России по Курганской области (по согласованию)</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20.</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Базовый объем налогов, задекларированный для уплаты в бюджет муниципального образования плательщиками налога, имеющими право на налоговые льготы, освобождения и иные преференции, установленные муниципальным правовым актом муниципального образования (тыс. рублей)</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УФНС России по Курганской области (по согласованию)</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21.</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Объем налогов, задекларированный для уплаты в бюджет муниципального образования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УФНС России по Курганской области (по согласованию)</w:t>
            </w:r>
          </w:p>
        </w:tc>
      </w:tr>
      <w:tr w:rsidR="00AD2CAD" w:rsidRPr="00AD2CAD" w:rsidTr="00AD2CAD">
        <w:trPr>
          <w:tblCellSpacing w:w="15" w:type="dxa"/>
        </w:trPr>
        <w:tc>
          <w:tcPr>
            <w:tcW w:w="5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22.</w:t>
            </w:r>
          </w:p>
        </w:tc>
        <w:tc>
          <w:tcPr>
            <w:tcW w:w="637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Результат оценки эффективности налогового расхода</w:t>
            </w:r>
          </w:p>
        </w:tc>
        <w:tc>
          <w:tcPr>
            <w:tcW w:w="2955" w:type="dxa"/>
            <w:vAlign w:val="center"/>
            <w:hideMark/>
          </w:tcPr>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Куратор налогового расхода</w:t>
            </w:r>
          </w:p>
        </w:tc>
      </w:tr>
    </w:tbl>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AD2CAD" w:rsidRPr="00AD2CAD" w:rsidRDefault="00AD2CAD" w:rsidP="00AD2CAD">
      <w:pPr>
        <w:spacing w:before="100" w:beforeAutospacing="1" w:after="100" w:afterAutospacing="1" w:line="240" w:lineRule="auto"/>
        <w:rPr>
          <w:rFonts w:ascii="Times New Roman" w:eastAsia="Times New Roman" w:hAnsi="Times New Roman" w:cs="Times New Roman"/>
          <w:sz w:val="24"/>
          <w:szCs w:val="24"/>
        </w:rPr>
      </w:pPr>
      <w:r w:rsidRPr="00AD2CAD">
        <w:rPr>
          <w:rFonts w:ascii="Times New Roman" w:eastAsia="Times New Roman" w:hAnsi="Times New Roman" w:cs="Times New Roman"/>
          <w:sz w:val="24"/>
          <w:szCs w:val="24"/>
        </w:rPr>
        <w:t> </w:t>
      </w:r>
    </w:p>
    <w:p w:rsidR="00E3530C" w:rsidRPr="00AD2CAD" w:rsidRDefault="00E3530C" w:rsidP="00AD2CAD"/>
    <w:sectPr w:rsidR="00E3530C" w:rsidRPr="00AD2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049"/>
    <w:multiLevelType w:val="multilevel"/>
    <w:tmpl w:val="50CC01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E4AA4"/>
    <w:multiLevelType w:val="multilevel"/>
    <w:tmpl w:val="8A9887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46526C"/>
    <w:multiLevelType w:val="multilevel"/>
    <w:tmpl w:val="67021E0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F1BEF"/>
    <w:multiLevelType w:val="multilevel"/>
    <w:tmpl w:val="C114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F4780"/>
    <w:multiLevelType w:val="multilevel"/>
    <w:tmpl w:val="94E6D1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3B5355"/>
    <w:multiLevelType w:val="multilevel"/>
    <w:tmpl w:val="5524C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37BB5"/>
    <w:multiLevelType w:val="multilevel"/>
    <w:tmpl w:val="305C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5024F"/>
    <w:multiLevelType w:val="multilevel"/>
    <w:tmpl w:val="8C1A3A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72F0E"/>
    <w:multiLevelType w:val="multilevel"/>
    <w:tmpl w:val="BA2A54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BC76C4"/>
    <w:multiLevelType w:val="multilevel"/>
    <w:tmpl w:val="3532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235AB"/>
    <w:multiLevelType w:val="multilevel"/>
    <w:tmpl w:val="377AD6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9904DF"/>
    <w:multiLevelType w:val="multilevel"/>
    <w:tmpl w:val="34B6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3"/>
  </w:num>
  <w:num w:numId="4">
    <w:abstractNumId w:val="5"/>
  </w:num>
  <w:num w:numId="5">
    <w:abstractNumId w:val="1"/>
  </w:num>
  <w:num w:numId="6">
    <w:abstractNumId w:val="9"/>
  </w:num>
  <w:num w:numId="7">
    <w:abstractNumId w:val="10"/>
  </w:num>
  <w:num w:numId="8">
    <w:abstractNumId w:val="8"/>
  </w:num>
  <w:num w:numId="9">
    <w:abstractNumId w:val="7"/>
  </w:num>
  <w:num w:numId="10">
    <w:abstractNumId w:val="2"/>
  </w:num>
  <w:num w:numId="11">
    <w:abstractNumId w:val="4"/>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F11CB"/>
    <w:rsid w:val="00192D90"/>
    <w:rsid w:val="001A6C47"/>
    <w:rsid w:val="002934BE"/>
    <w:rsid w:val="003D5441"/>
    <w:rsid w:val="00441BA6"/>
    <w:rsid w:val="00535BB9"/>
    <w:rsid w:val="00690D27"/>
    <w:rsid w:val="009E7661"/>
    <w:rsid w:val="00AD2CAD"/>
    <w:rsid w:val="00AE0D48"/>
    <w:rsid w:val="00E3530C"/>
    <w:rsid w:val="00E80FC0"/>
    <w:rsid w:val="00EC3F03"/>
    <w:rsid w:val="00EC7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9225CCE0A57FCE458E758C9F3598A14567AA5B9E0C8DEE113E76852858C84F9EA4F0A4B88494AD41772C963C4A269B9E2B1700CC57B1B0q3l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9225CCE0A57FCE458E758C9F3598A14565AF569A0D8DEE113E76852858C84F8CA4A8A8B98088AE40627AC77Aq1lFF" TargetMode="External"/><Relationship Id="rId5" Type="http://schemas.openxmlformats.org/officeDocument/2006/relationships/hyperlink" Target="consultantplus://offline/ref=51596F47E4D377FC9A2F54CAE5BE8432D02D30732259BDF3C18E6A8F6BE248B8D1C876F2120395E9906F65135AA6E1912252830C30DB15AF33x8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3655</Words>
  <Characters>20837</Characters>
  <Application>Microsoft Office Word</Application>
  <DocSecurity>0</DocSecurity>
  <Lines>173</Lines>
  <Paragraphs>48</Paragraphs>
  <ScaleCrop>false</ScaleCrop>
  <Company>Microsoft</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2022-09-28T10:52:00Z</dcterms:created>
  <dcterms:modified xsi:type="dcterms:W3CDTF">2022-09-28T10:52:00Z</dcterms:modified>
</cp:coreProperties>
</file>