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CB" w:rsidRPr="000F11CB" w:rsidRDefault="000F11CB" w:rsidP="000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F11CB" w:rsidRPr="000F11CB" w:rsidRDefault="000F11CB" w:rsidP="000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F11CB" w:rsidRPr="000F11CB" w:rsidRDefault="000F11CB" w:rsidP="000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0F11CB" w:rsidRPr="000F11CB" w:rsidRDefault="000F11CB" w:rsidP="000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0F11CB" w:rsidRPr="000F11CB" w:rsidRDefault="000F11CB" w:rsidP="000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от 16.03.2021 г. №  174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г. Шумиха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об отраслевой системе оплаты труда работников муниципального бюджетного учреждения дополнительного образования «Шумихинская школа искусств»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В соответствии со статьей 144 Трудового кодекса Российской Федерации, постановлением Правительства Курганской области от 9 августа 2011 г. № 376 «О введении отраслевой системы оплаты труда работников государственных образовательных учреждений, подведомственных Управлению культуры Курганской области», Администрация Шумихинского муниципального округа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ПОСТАНОВЛЯЕТ:    </w:t>
      </w:r>
    </w:p>
    <w:p w:rsidR="000F11CB" w:rsidRPr="000F11CB" w:rsidRDefault="000F11CB" w:rsidP="000A4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Утвердить Положение об отраслевой системе оплаты труда работников муниципального бюджетного учреждения дополнительного образования «Шумихинская школа искусств» согласно приложению 1 к настоящему постановлению.</w:t>
      </w:r>
    </w:p>
    <w:p w:rsidR="000F11CB" w:rsidRPr="000F11CB" w:rsidRDefault="000F11CB" w:rsidP="000A4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 xml:space="preserve">  Признать утратившим силу постановление Администрации Шумихинского района от 14.12.2020 г. № 535 «Об утверждении Положения об отраслевой системе </w:t>
      </w: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оплаты труда работников муниципального бюджетного учреждения дополнительного образования «Шумихинская школа искусств».</w:t>
      </w:r>
    </w:p>
    <w:p w:rsidR="000F11CB" w:rsidRPr="000F11CB" w:rsidRDefault="000F11CB" w:rsidP="000A4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0F11CB" w:rsidRPr="000F11CB" w:rsidRDefault="000F11CB" w:rsidP="000A4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 Контроль за выполнением настоящего постановления возложить на заместителя Главы Шумихинского муниципального округа Курганской области.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                                                       С. И. Максимовских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от  16.03.2021 года № 174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   «Об утверждении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Положения об отраслевой системе оплаты труда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 работников  муниципального бюджетного учреждения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«Шумихинская школа искусств»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отраслевой системе оплаты работников муниципального бюджетного учреждения дополнительного образования «Шумихинская школа искусств»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Настоящее Положение об отраслевой системе оплаты труда работников МБУДО «Шумихинская школа искусств» (далее – Положение), разработано в соответствии с Трудовым кодексом Российской Федерации, Федеральным законом от 29 декабря 2012 года № 273-ФЗ «Об образовании в Российской Федерации», постановлением Правительства Курганской области от 14 февраля 2008 года № 52 «Об увеличении фонда оплаты труда работников государственных учреждений Курганской области», постановлением Правительства Курганской области от 9 августа 2011 г. № 376 «О введении отраслевой системы оплаты труда работников государственных образовательных учреждений, подведомственных Управлению культуры Курганской области», постановлением Правительства Курганской области от 31.032009 г. № 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 и иными нормативными правовыми актами Российской Федерации и Курганской области.</w:t>
      </w:r>
    </w:p>
    <w:p w:rsidR="000F11CB" w:rsidRPr="000F11CB" w:rsidRDefault="000F11CB" w:rsidP="000A4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Настоящее Положение определяет порядок и условия оплаты труда работников учебно-вспомогательного персонала, педагогических работников, руководителей, заместителей руководителей, главных бухгалтеров, заместителей главных бухгалтеров (далее также – работники) МБУДО «Шумихинская школа искусств» (далее – образовательная организация).</w:t>
      </w:r>
    </w:p>
    <w:p w:rsidR="000F11CB" w:rsidRPr="000F11CB" w:rsidRDefault="000F11CB" w:rsidP="000A4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Порядок и условия оплаты труда в образовательной организации по общеотраслевым должностям служащих и профессиям рабочих определяются в соответствии с постановлением Правительства Курганской области от 31 марта 2009 года № 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труда», размеры окладов работников, осуществляющих техническое обеспечение  деятельности,  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рабочих.</w:t>
      </w:r>
    </w:p>
    <w:p w:rsidR="000F11CB" w:rsidRPr="000F11CB" w:rsidRDefault="000F11CB" w:rsidP="000A4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  Оплата труда в образовательной организации по должностям работников культуры, искусства и кинематографии определяется в соответствии с постановлением Администрации Шумихинского муниципального округа Курганской области от 15.03.2021 г.  №  168 «Об утверждении Положения об отраслевой системы оплаты труда работников, муниципальных казенных учреждений культуры Шумихинского муниципального округа Курганской области», с нормативным правовым актом, регулирующим вопросы оплаты труда работников государственных учреждений культуры, искусства и кинематографии Курганской области.</w:t>
      </w:r>
    </w:p>
    <w:p w:rsidR="000F11CB" w:rsidRPr="000F11CB" w:rsidRDefault="000F11CB" w:rsidP="000A4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Система оплаты труда работников образовательной организации устанавливается коллективным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правовыми актами Курганской области, Шумихинского муниципального округа Курганской области и настоящим Положением.</w:t>
      </w:r>
    </w:p>
    <w:p w:rsidR="000F11CB" w:rsidRPr="000F11CB" w:rsidRDefault="000F11CB" w:rsidP="000A4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Работникам образовательной организации выплачивается материальная помощь по основаниям и в порядке, установленными локальными нормативными актами образовательной организации.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Выплата материальной помощи работникам образовательной организации осуществляется в пределах фонда оплаты труда образовательной организации.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Выплата материальной помощи работникам образовательной организации, за исключением руководителя образовательной организации, осуществляется по решению руководителя образовательной организации.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Руководителю образовательной организации выплата материальной помощи осуществляется на основании приказа Отдела культуры Администрации Шумихинского муниципального округа Курганской области.</w:t>
      </w:r>
    </w:p>
    <w:p w:rsidR="000F11CB" w:rsidRPr="000F11CB" w:rsidRDefault="000F11CB" w:rsidP="000A4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0F11CB" w:rsidRPr="000F11CB" w:rsidRDefault="000F11CB" w:rsidP="000A4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Заработная плата работника предельными размерами не ограничивается.</w:t>
      </w:r>
    </w:p>
    <w:p w:rsidR="000F11CB" w:rsidRPr="000F11CB" w:rsidRDefault="000F11CB" w:rsidP="000A4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 Заработная плата, устанавливаемая в соответствии с отраслевой системой оплаты труда (без учета премий), не может быть ниже заработной платы, выплачиваемой до введения отраслевой системы оплаты труда (без учета премий), при условии сохранения объема должностных обязанностей работников и выполнения ими работ той же квалификации.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Формирование фонда оплаты труда образовательной организации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Фонд оплаты труда образовательной организации состоит из базовой и стимулирующей частей: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ФОТ = ФОТб + Фс, где: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  ФОТ – фонд оплаты труда образовательной организации;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ФОТб – базовая часть фонда оплаты труда образовательной организации;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Фс – стимулирующая часть фонда оплаты труда образовательной организации, размер которой предусматривается в размере не менее 18 процентов от фонда оплаты труда образовательной организации.</w:t>
      </w:r>
    </w:p>
    <w:p w:rsidR="000F11CB" w:rsidRPr="000F11CB" w:rsidRDefault="000F11CB" w:rsidP="000A43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Базовая часть фонда оплаты труда образовательной организации определяется по формуле: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ФОТб = До +Дк, где: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ФОТб – базовая часть фонда оплаты труда образовательной организации;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До – должностные оклады работников образовательной организации в рамках штатного расписания;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Дк – компенсационные выплаты, предусмотренные разделом V настоящего Положения.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Порядок определения размеров должностного оклада работников образовательной организации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0F11CB" w:rsidRPr="000F11CB" w:rsidRDefault="000F11CB" w:rsidP="000A43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Размеры должностных окладов работников учебно-вспомогательного персонала, педагогических работников, руководителей структурных подразделений образовательной организации устанавливаются на основе отнесения занимаемых ими должностей к профессиональным квалификационным группам (далее – ПКГ) согласно таблице 1.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         (рубль)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6"/>
        <w:gridCol w:w="1739"/>
      </w:tblGrid>
      <w:tr w:rsidR="000F11CB" w:rsidRPr="000F11CB" w:rsidTr="000F11CB">
        <w:trPr>
          <w:tblHeader/>
          <w:tblCellSpacing w:w="15" w:type="dxa"/>
        </w:trPr>
        <w:tc>
          <w:tcPr>
            <w:tcW w:w="78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 Профессиональная квалификационная группа,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 квалификационный уровень</w:t>
            </w:r>
          </w:p>
        </w:tc>
        <w:tc>
          <w:tcPr>
            <w:tcW w:w="17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78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7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4 300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78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уровня:</w:t>
            </w:r>
          </w:p>
        </w:tc>
        <w:tc>
          <w:tcPr>
            <w:tcW w:w="17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78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5 200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78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5 400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78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7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78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8 100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78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должностей руководителей структурных подразделений:</w:t>
            </w:r>
          </w:p>
        </w:tc>
        <w:tc>
          <w:tcPr>
            <w:tcW w:w="17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78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8 100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78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8 200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78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8 300</w:t>
            </w:r>
          </w:p>
        </w:tc>
      </w:tr>
    </w:tbl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Отнесение должностей к ПКГ и квалификационным уровням производится в соответствии с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 и согласно приложению № 1 к настоящему Положению.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Размеры должностных окладов работников учреждения, занимающих должности работников культуры, искусства, кинематографии, устанавливаются на основе отнесения занимаемых ими должностей с учетом образования и профессиональной переподготовки к соответствующим профессиональным квалификационным группам (далее — ПКГ) в соответствии с таблицей 2.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         (рубль)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1"/>
        <w:gridCol w:w="1734"/>
      </w:tblGrid>
      <w:tr w:rsidR="000F11CB" w:rsidRPr="000F11CB" w:rsidTr="000F11CB">
        <w:trPr>
          <w:tblHeader/>
          <w:tblCellSpacing w:w="15" w:type="dxa"/>
        </w:trPr>
        <w:tc>
          <w:tcPr>
            <w:tcW w:w="775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 Профессиональная квалификационная группа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</w:t>
            </w:r>
          </w:p>
        </w:tc>
        <w:tc>
          <w:tcPr>
            <w:tcW w:w="169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775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образование, среднее специальное непрофильное образование, начальное профессиональное образование,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непрофильное, среднее специальное профильное образование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   профессиональное профильное образование</w:t>
            </w:r>
          </w:p>
        </w:tc>
        <w:tc>
          <w:tcPr>
            <w:tcW w:w="169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12 800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13 800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14 800</w:t>
            </w:r>
          </w:p>
        </w:tc>
      </w:tr>
    </w:tbl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 xml:space="preserve">          Отнесение должностей работников культуры, искусства и кинематографии к ПКГ осуществляется в соответствии с приказом Министерства здравоохранения и социального </w:t>
      </w: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 согласно приложению 1 к настоящему Положению.</w:t>
      </w:r>
    </w:p>
    <w:p w:rsidR="000F11CB" w:rsidRPr="000F11CB" w:rsidRDefault="000F11CB" w:rsidP="000A43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 xml:space="preserve">Размеры окладов работников, осуществляющих техническое обеспечение деятельности,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соответствии с </w:t>
      </w:r>
      <w:hyperlink r:id="rId5" w:history="1">
        <w:r w:rsidRPr="000F1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таблицей </w:t>
        </w:r>
      </w:hyperlink>
      <w:r w:rsidRPr="000F11CB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Таблица 3. Размеры окладов работников,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осуществляющих техническое обеспечение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7111"/>
        <w:gridCol w:w="1549"/>
      </w:tblGrid>
      <w:tr w:rsidR="000F11CB" w:rsidRPr="000F11CB" w:rsidTr="000F11CB">
        <w:trPr>
          <w:tblCellSpacing w:w="15" w:type="dxa"/>
        </w:trPr>
        <w:tc>
          <w:tcPr>
            <w:tcW w:w="8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работ</w:t>
            </w:r>
          </w:p>
        </w:tc>
        <w:tc>
          <w:tcPr>
            <w:tcW w:w="16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   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оклада,  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8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1-й тарифный разряд в соответствии  с Единым тарифно-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квалификационным  справочником  работ   и   профессий рабочих</w:t>
            </w:r>
          </w:p>
        </w:tc>
        <w:tc>
          <w:tcPr>
            <w:tcW w:w="16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4 676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8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2-й тарифный разряд в соответствии  с Единым тарифно-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квалификационным  справочником  работ   и   профессий рабочих</w:t>
            </w:r>
          </w:p>
        </w:tc>
        <w:tc>
          <w:tcPr>
            <w:tcW w:w="16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5 142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8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3-й тарифный разряд в соответствии  с Единым тарифно-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квалификационным  справочником  работ   и   профессий рабочих</w:t>
            </w:r>
          </w:p>
        </w:tc>
        <w:tc>
          <w:tcPr>
            <w:tcW w:w="16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5 378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8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4-й тарифный разряд в соответствии  с Единым тарифно-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квалификационным  справочником  работ   и   профессий рабочих</w:t>
            </w:r>
          </w:p>
        </w:tc>
        <w:tc>
          <w:tcPr>
            <w:tcW w:w="16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5 846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8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5-й тарифный разряд в соответствии  с Единым тарифно-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квалификационным  справочником  работ   и   профессий рабочих</w:t>
            </w:r>
          </w:p>
        </w:tc>
        <w:tc>
          <w:tcPr>
            <w:tcW w:w="16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6 546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8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6-й тарифный разряд в соответствии  с Единым тарифно-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квалификационным  справочником  работ   и   профессий рабочих</w:t>
            </w:r>
          </w:p>
        </w:tc>
        <w:tc>
          <w:tcPr>
            <w:tcW w:w="16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7 012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8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7-й тарифный разряд в соответствии  с Единым тарифно-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квалификационным  справочником  работ   и   профессий рабочих</w:t>
            </w:r>
          </w:p>
        </w:tc>
        <w:tc>
          <w:tcPr>
            <w:tcW w:w="16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7 248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8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8-й тарифный разряд в соответствии  с Единым тарифно-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квалификационным  справочником  работ   и   профессий рабочих </w:t>
            </w:r>
          </w:p>
        </w:tc>
        <w:tc>
          <w:tcPr>
            <w:tcW w:w="16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7 480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8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9-й тарифный разряд в соответствии  с Единым тарифно-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квалификационным  справочником  работ   и   профессий рабочих</w:t>
            </w:r>
          </w:p>
        </w:tc>
        <w:tc>
          <w:tcPr>
            <w:tcW w:w="16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7 719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8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9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10-й тарифный разряд в соответствии  с Единым тарифно-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квалификационным  справочником  работ   и   профессий рабочих</w:t>
            </w:r>
          </w:p>
        </w:tc>
        <w:tc>
          <w:tcPr>
            <w:tcW w:w="16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7 966</w:t>
            </w:r>
          </w:p>
        </w:tc>
      </w:tr>
    </w:tbl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Порядок и условия установления стимулирующих выплат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1. Виды и порядок установления стимулирующих выплат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 В целях поощрения работников образовательной организации за выполненную работу устанавливаются следующие виды стимулирующих выплат: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 - персональные повышающие коэффициенты к должностному окладу;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 - за квалификационную категорию;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 - за качество выполняемых работ;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- премиальные выплаты по итогам работы.</w:t>
      </w:r>
    </w:p>
    <w:p w:rsidR="000F11CB" w:rsidRPr="000F11CB" w:rsidRDefault="000F11CB" w:rsidP="000A43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Стимулирующие выплаты применяются к должностному окладу по соответствующим ПКГ и квалификационным уровням.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Применение стимулирующей выплаты к должностному окладу не образует новый должностной оклад и не учитывается при начислении иных стимулирующих и компенсационных выплат. Стимулирующие выплаты при применении складываются между собой.</w:t>
      </w:r>
    </w:p>
    <w:p w:rsidR="000F11CB" w:rsidRPr="000F11CB" w:rsidRDefault="000F11CB" w:rsidP="000A43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Размер стимулирующей выплаты к должностному окладу определяется путем умножения должностного оклада на коэффициент стимулирующей выплаты.</w:t>
      </w:r>
    </w:p>
    <w:p w:rsidR="000F11CB" w:rsidRPr="000F11CB" w:rsidRDefault="000F11CB" w:rsidP="000A43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Установление стимулирующих выплат, за исключением стимулирующих выплат руководителю образовательной организации, осуществляется по решению руководителя образовательной организации в пределах фонда оплаты труда образовательной организации.</w:t>
      </w:r>
    </w:p>
    <w:p w:rsidR="000F11CB" w:rsidRPr="000F11CB" w:rsidRDefault="000F11CB" w:rsidP="000A43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Порядок осуществления стимулирующих выплат устанавливается локальным нормативным актом образовательной организации.</w:t>
      </w:r>
    </w:p>
    <w:p w:rsidR="000F11CB" w:rsidRPr="000F11CB" w:rsidRDefault="000F11CB" w:rsidP="000A43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Порядок и условия их установления руководителям образовательных организаций стимулирующих выплат определяются в соответствии с разделом VII Положения.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Персональный повышающий коэффициент к должностному окладу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Персональный повышающий коэффициент к должностному окладу устанавливается в размере до 2,0 на определенный период времени в течение соответствующего календарного года.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 Решение об установлении персонального повышающего коэффициента к должностному окладу и его размере принимается персонально в отношении конкретного работника в соответствии со следующими критериями: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  - Персональный повышающий коэффициент к должностному окладу устанавливается с учетом уровня профессиональной подготовленности работника, сложности, важности выполняемой работы, степени самостоятельности и ответственности при выполнении поставленных задач;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 xml:space="preserve">        - Работникам образовательной организации устанавливается повышающий коэффициент за стаж работы в образовательной организации – время работы по </w:t>
      </w: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специальности, соответствующей профилю работы в образовательной организации коэффициентах от должностного оклада в следующих размерах: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- при выслуге от 2 до 5 лет – 0,1;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- при выслуге от 5 до 10 лет – 0,2;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- при выслуге свыше 10 лет – 0,3;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- Повышающий коэффициент, учитывающий уровень образования работников образовательной организации, устанавливается с целью стимулирования работников образовательной организации к повышению уровня  образования.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Размеры повышающих коэффициентов, учитывающих уровень образования, за исключением должностей работников культуры, искусства и кинематографии: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- Среднее специальное непрофильное образование, начальное профессиональное образование - 0,1;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- Высшее профессиональное непрофильное, среднее специальное профильное образование – 0,2;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- Высшее   профессиональное профильное образование – 0,3.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3. Стимулирующая выплата за квалификационную категорию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С целью стимулирования к качественному результату труда, профессиональному росту путем повышения профессиональной квалификации и компетентности работникам образовательной организации устанавливается стимулирующая выплата за квалификационную категорию в процентах от должностного оклада в следующих размерах: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1) руководителям структурных подразделений, педагогическим работникам: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20 процентов – при наличии высшей квалификационной категории;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15 процентов – при наличии первой квалификационной категории.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2) работникам учебно-вспомогательного персонала, работникам, занимающим должности служащих, по которым предусмотрено должностное категорирование: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10 процентов – при наличии производного должностного наименования «главный»;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5 процентов – при наличии производного должностного наименования «ведущий».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F11CB" w:rsidRPr="000F11CB" w:rsidRDefault="000F11CB" w:rsidP="000A43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4. Стимулирующая выплата за качество выполняемых работ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Стимулирующая выплата за качество выполняемых работ работникам образовательной организации, которым присвоены ученая степень, почетное звание по основному профилю профессиональной деятельности устанавливается в следующих размерах: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30 процентов от должностного оклада – за ученую степень доктора наук (с даты присуждения ученой степени в соответствии с действующим законодательством) или за почетное звание «Народный»;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20 процентов от должностного оклада – за ученую степень кандидата наук (с даты присуждения ученой степени в соответствии с действующим законодательством) или за почетное звание «Заслуженный».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Стимулирующая выплата за качество выполняемых работ устанавливается по одному из оснований, имеющему больше значение.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5. Премиальные выплаты по итогам работы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В целях поощрения работников за выполненную работу в образовательной организации осуществляются премиальные выплаты по итогам работы: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 - за определенный период (за месяц, квартал, полугодие, год);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 - за выполнение особо важных и срочных заданий;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 - за интенсивность и высокие результаты работы.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 Премиальные выплаты по итогам работы осуществляются: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 - заместителям руководителя образовательной организации, главному бухгалтеру и иным работникам, подчиненным непосредственно руководителю образовательной организации, по решению руководителя образовательной организации;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 - руководителям образовательной организации и иным работникам, подчиненным заместителям руководителя образовательной организации, по представлению соответствующих заместителей руководителя образовательной организации;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 - иным работникам образовательной организации, подчиненным руководителям структурных подразделений образовательной организации, по представлению соответствующих руководителей структурных подразделений образовательной организации.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  Порядок принятия решения об осуществлении премиальных выплат по итогам работы и определения конкретного размера указанных выплат устанавливается локальным нормативным актом образовательной организации.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Заместителю руководителя образовательной организации в период исполнения им обязанностей руководителя образовательной организации премиальные выплаты по итогам работы осуществляются в соответствии с разделом VII Положения.</w:t>
      </w:r>
    </w:p>
    <w:p w:rsidR="000F11CB" w:rsidRPr="000F11CB" w:rsidRDefault="000F11CB" w:rsidP="000A430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Премиальные выплаты по итогам работы за определенный период (за месяц, квартал, полугодие, год) (далее – премиальные выплаты по итогам работы за определенный период) выплачивается с целью поощрения работников за общие результаты труда по итогам работы.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При определении размера премиальной выплаты по итогам работы за определенный период учитывается: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 - успешное и добросовестное исполнение работником своих обязанностей в соответствующем периоде;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 - инициатива, творчество и применение в работе современных форм и методов организации труда;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 - выполнение порученной работы, связанной с обеспечением рабочего процесса или уставной деятельности образовательной организации;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 - участие в течение соответствующего периода в выполнении особо важных работ и мероприятий;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 - качественная подготовка и своевременное предоставление отчетности.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 Премиальные выплаты по итогам работы за определенный период выплачиваются в пределах экономии фонда оплаты труда за соответствующий период. Конкретный размер премиальной выплаты за определенный период может определяться как в процентах к должностному окладу, так и в абсолютном размере. Максимальным размером премиальная выплата по итогам работы за определенный период не ограничена.</w:t>
      </w:r>
    </w:p>
    <w:p w:rsidR="000F11CB" w:rsidRPr="000F11CB" w:rsidRDefault="000F11CB" w:rsidP="000A430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Премиальная выплата по итогам работы за выполнение особо важных и срочных заданий выплачивается работникам единовременно по итогам выполнения особо важных и срочных заданий с целью поощрения работников за оперативность и качественный результат труда.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   Размер премиальной выплаты по итогам работы за выполнение особо важных и срочных заданий может устанавливаться как в абсолютном значении, так и в процентном отношении к должностному окладу. Максимальным размером премиальная выплата по итогам работы за выполнение особо важных и срочных заданий не ограничена.</w:t>
      </w:r>
    </w:p>
    <w:p w:rsidR="000F11CB" w:rsidRPr="000F11CB" w:rsidRDefault="000F11CB" w:rsidP="000A430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Премиальная выплата по итогам работы за интенсивность и высокие результаты работы выплачивается работникам единовременно.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 При премировании учитываются: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    - интенсивность и напряженность работы;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   -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образовательной организации).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    Размер премиальной выплаты по итогам работы за интенсивность и высокие результаты работы может устанавливаться как в абсолютном значении, так и в процентном отношении к должностному окладу. Максимальным размером премиальная выплата по итогам работы за интенсивность и высокие результаты не ограничена.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Порядок и условия установления выплат компенсационного характера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характера, размеры и условия их установления работникам образовательных организаций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0F11CB" w:rsidRPr="000F11CB" w:rsidRDefault="000F11CB" w:rsidP="000A430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 работникам, занятым на работах в условиях, отклоняющихся от нормальных, устанавливаются в соответствии с постановлением Администрации (Правительства) Курганской области от 26 июня 2006 года № 217 «Об утверждении порядков и условий применения выплат компенсационного характера работникам государственных учреждений Курганской области, занятым на работах в условиях, отклоняющихся от нормальных».</w:t>
      </w:r>
    </w:p>
    <w:p w:rsidR="000F11CB" w:rsidRPr="000F11CB" w:rsidRDefault="000F11CB" w:rsidP="000A430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Коэффициент за работу в местностях с особыми климатическими условиями (районный коэффициент) в Курганской области применяется в размере 0,15 к общей сумме начисленной заработной платы.</w:t>
      </w:r>
    </w:p>
    <w:p w:rsidR="000F11CB" w:rsidRPr="000F11CB" w:rsidRDefault="000F11CB" w:rsidP="000A430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0F11CB" w:rsidRPr="000F11CB" w:rsidRDefault="000F11CB" w:rsidP="000A430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0F11CB" w:rsidRPr="000F11CB" w:rsidRDefault="000F11CB" w:rsidP="000A430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  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0F11CB" w:rsidRPr="000F11CB" w:rsidRDefault="000F11CB" w:rsidP="000A430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Сверхурочная работа оплачивается за первые два часа работы не менее чем в полуторном размере, за последующие часы - не менее чем в двойном размере в соответствии со статьей 152 Трудового кодекса Российской Федерации.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  Конкретные размеры оплаты за сверхурочную работу могут определяться коллективным договором, локальным нормативным актом учреждения или трудовым договором.</w:t>
      </w:r>
    </w:p>
    <w:p w:rsidR="000F11CB" w:rsidRPr="000F11CB" w:rsidRDefault="000F11CB" w:rsidP="000A430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153 Трудового кодекса Российской Федерации работа в выходной или нерабочий праздничный день оплачивается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 образовательной организации, принимаемым с учетом мнения представительного органа работников, трудовым договором.</w:t>
      </w:r>
    </w:p>
    <w:p w:rsidR="000F11CB" w:rsidRPr="000F11CB" w:rsidRDefault="000F11CB" w:rsidP="000A430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Размер повышения оплаты труда за работу в ночное время (с 22 часов до 6 часов) устанавливается коллективным договором, локальным нормативным актом образовательной организации, принимаемым с учетом мнения представительного органа работников, трудовым договором и составляет не менее 35 процентов должностного оклада, рассчитанного за час работы, за каждый час работы в ночное время.</w:t>
      </w:r>
    </w:p>
    <w:p w:rsidR="000F11CB" w:rsidRPr="000F11CB" w:rsidRDefault="000F11CB" w:rsidP="000A430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Доплаты за выполнение работ, непосредственно связанных с образовательным процессом и не входящих в круг должностных обязанностей работников (классное руководство, внеклассная работа, проверка тетрадей, заведование кабинетом, руководство предметными, цикловыми, методическими комиссиями).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Конкретные размеры доплат определяются коллективным договором, локальным правовым актом, принимаемым с учетом мнения представительного органа работников, трудовым договором.</w:t>
      </w:r>
    </w:p>
    <w:p w:rsidR="000F11CB" w:rsidRPr="000F11CB" w:rsidRDefault="000F11CB" w:rsidP="000A430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характера, установленные в процентном отношении к должностному окладу, рассчитываются от должностного оклада без учета повышающих коэффициентов.</w:t>
      </w:r>
    </w:p>
    <w:p w:rsidR="000F11CB" w:rsidRPr="000F11CB" w:rsidRDefault="000F11CB" w:rsidP="000A430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Особенности оплаты труда работников образовательной организации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Оплата часов преподавательской работы в образовательной организации среднего профессионального образования рассчитывается: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Чпспо=(</w:t>
      </w:r>
      <w:r w:rsidRPr="000F11CB">
        <w:rPr>
          <w:rFonts w:ascii="Times New Roman" w:eastAsia="Times New Roman" w:hAnsi="Times New Roman" w:cs="Times New Roman"/>
          <w:sz w:val="24"/>
          <w:szCs w:val="24"/>
          <w:u w:val="single"/>
        </w:rPr>
        <w:t>О×(1+Т/100)+(О×(1+Т/100)×(З+К))</w:t>
      </w:r>
      <w:r w:rsidRPr="000F11CB">
        <w:rPr>
          <w:rFonts w:ascii="Times New Roman" w:eastAsia="Times New Roman" w:hAnsi="Times New Roman" w:cs="Times New Roman"/>
          <w:sz w:val="24"/>
          <w:szCs w:val="24"/>
        </w:rPr>
        <w:t xml:space="preserve"> × Vнм, где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 Нрв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Чпспо – оплата часов преподавательской работы в образовательной организации среднего профессионального образования;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О – должностной оклад;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Т – процент повышения должностного оклада в соответствии с постановлением Администрации (Правительства) Курганской области от 26 июня 2006 года № 217 «Об утверждение порядков и условий применения выплат компенсационного характера работникам государственных учреждений Курганской области, занятым на работах в условиях отклоняющихся от нормальных»;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З – стимулирующая выплата за качество выполняемых работ;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К – стимулирующая выплата за квалификационную категорию;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Нрв – норма рабочего времени в месяц (для преподавателей – 72 часа в месяц, для концертмейстеров – 96 часов в месяц);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Vнм – объем учебной нагрузки в месяц.</w:t>
      </w:r>
    </w:p>
    <w:p w:rsidR="000F11CB" w:rsidRPr="000F11CB" w:rsidRDefault="000F11CB" w:rsidP="000A430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Оплата часов преподавательской работы в музыкальных школах (школах искусств, художественных школах) рассчитывается: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Чпмш=(</w:t>
      </w:r>
      <w:r w:rsidRPr="000F11CB">
        <w:rPr>
          <w:rFonts w:ascii="Times New Roman" w:eastAsia="Times New Roman" w:hAnsi="Times New Roman" w:cs="Times New Roman"/>
          <w:sz w:val="24"/>
          <w:szCs w:val="24"/>
          <w:u w:val="single"/>
        </w:rPr>
        <w:t>О+О×(З+К))</w:t>
      </w:r>
      <w:r w:rsidRPr="000F11CB">
        <w:rPr>
          <w:rFonts w:ascii="Times New Roman" w:eastAsia="Times New Roman" w:hAnsi="Times New Roman" w:cs="Times New Roman"/>
          <w:sz w:val="24"/>
          <w:szCs w:val="24"/>
        </w:rPr>
        <w:t xml:space="preserve"> ×V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         Нрв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Чпмш – оплата часов преподавательской работы в музыкальных школах (школах искусств, художественных школах);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О – должностной оклад;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З – стимулирующая выплата за качество выполняемых работ;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К – стимулирующая выплата за квалификационную категорию;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Нрв – норма рабочего времени для преподавателей – 18 часов в неделю (72 часа в месяц), для концертмейстеров – 24 часа в неделю (96 часов в месяц);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Vн – объем учебной нагрузки в неделю (месяц).</w:t>
      </w:r>
    </w:p>
    <w:p w:rsidR="000F11CB" w:rsidRPr="000F11CB" w:rsidRDefault="000F11CB" w:rsidP="000A43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Почасовая оплата труда педагогических работников образовательной организации применяется при оплате: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1) за часы, отработанные в порядке замещения отсутствующих по болезни или другим причинам преподавателей, воспитателей и других педагогических работников, продолжавшегося не более двух месяцев;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2) за часы педагогической работы, отработанные преподавателями в период промежуточной (итоговой) аттестации обучающихся.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Размер оплаты за один час педагогической работы определяется путем деления установленного должностного оклада педагогического работника за установленную норму часов педагогической работы в месяц (для преподавателей – 72 часа в месяц, для концертмейстеров – 96 часов в месяц) на среднемесячное количество рабочих часов.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VII. Условия оплаты труда руководителя образовательной организации, заместителей руководителя образовательной  организации, главного бухгалтера, заместителя главного бухгалтера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Заработная плата руководителя образовательной организации, заместителей руководителя образовательной организации, главного бухгалтера и заместителя главного бухгалтера состоит из должностного оклада, выплат стимулирующего и компенсационного характера.</w:t>
      </w:r>
    </w:p>
    <w:p w:rsidR="000F11CB" w:rsidRPr="000F11CB" w:rsidRDefault="000F11CB" w:rsidP="000A430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Условия оплаты труда руководителя образовательной организации устанавливаются в трудовом договоре (дополнительным соглашении к трудовому договору), оформляемым в соответствии с типовой формой трудового договора с руководителем государственного муниципального учреждения,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учреждения», с учетом настоящего Положения.</w:t>
      </w:r>
    </w:p>
    <w:p w:rsidR="000F11CB" w:rsidRPr="000F11CB" w:rsidRDefault="000F11CB" w:rsidP="000A430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Порядок и условия установления стимулирующих выплат заместителям руководителя образовательной организации, главному бухгалтеру и заместителю главного бухгалтера осуществляется в соответствии с разделом IV Положения.</w:t>
      </w:r>
    </w:p>
    <w:p w:rsidR="000F11CB" w:rsidRPr="000F11CB" w:rsidRDefault="000F11CB" w:rsidP="000A430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 руководителю образовательной организации; заместителям руководителя образовательной организации, главному бухгалтеру и заместителю главного бухгалтера устанавливаются в соответствии с разделом V Положения.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определения размеров должностных окладов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Размер должностного оклада руководителя образовательной организации устанавливается в соответствии с таблицей 2.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3"/>
        <w:gridCol w:w="4702"/>
      </w:tblGrid>
      <w:tr w:rsidR="000F11CB" w:rsidRPr="000F11CB" w:rsidTr="000F11CB">
        <w:trPr>
          <w:tblCellSpacing w:w="15" w:type="dxa"/>
        </w:trPr>
        <w:tc>
          <w:tcPr>
            <w:tcW w:w="493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49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(рубль)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493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«Шумихинская школа искусств»</w:t>
            </w:r>
          </w:p>
        </w:tc>
        <w:tc>
          <w:tcPr>
            <w:tcW w:w="492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13 123</w:t>
            </w:r>
          </w:p>
        </w:tc>
      </w:tr>
    </w:tbl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 Должностные оклады заместителей руководителя образовательной организации и главного бухгалтера образовательной организации устанавливаются на 10-30 процентов ниже должностного оклада руководителя образовательной организации.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 Должностной оклад заместителя главного бухгалтера образовательной организации устанавливается на 10-30 процентов ниже должностного оклада главного бухгалтера образовательной организации.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Порядок и условия установления стимулирующих выплат 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руководителю образовательной организации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A430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Руководителю образовательной организации в трудовом договоре устанавливается повышающий коэффициент, учитывающий специфику образовательной организации, к должностному окладу по результатам деятельности образовательной организации (далее - повышающий коэффициент, учитывающий специфику образовательной организации).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 Повышающий коэффициент, учитывающий специфику образовательной организации, устанавливается в соответствии с показателями, характеризующими специфику образовательной организации (Приложение № 2).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Предельный размер суммы повышающих коэффициентов к должностному окладу – 1,0.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Размер повышающего коэффициента устанавливается приказом начальника Отдела культуры Администрации Шумихинского муниципального округа. Повышающий коэффициент  устанавливается на календарный год, в течение которого может быть сохранен или отменен.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 Размер выплаты по повышенному коэффициенту, учитывающему специфику образовательной организации, определяется путем умножения должностного оклада на повышающий коэффициент, учитывающий специфику образовательной организации.</w:t>
      </w:r>
    </w:p>
    <w:p w:rsidR="000F11CB" w:rsidRPr="000F11CB" w:rsidRDefault="000F11CB" w:rsidP="000A430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Руководителю образовательной организации устанавливается ежемесячная стимулирующая выплата за эффективность приносящий доход деятельности образовательной организации в размере двух процентов от дохода, полученного образовательной организацией в соответствующем месяце от предпринимательской и иной приносящей доход деятельности.</w:t>
      </w:r>
    </w:p>
    <w:p w:rsidR="000F11CB" w:rsidRPr="000F11CB" w:rsidRDefault="000F11CB" w:rsidP="000A430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Руководителю образовательной организации при наличии оснований устанавливается ежемесячная стимулирующая выплата за качество выполняемых работ в размере: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      20 процентов от должностного оклада – за ученую степень кандидата наук (с даты присуждения ученой степени в соответствии с действующим законодательством) или почетное звание «Заслуженный»;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 30 процентов от должностного оклада – за ученую степень доктора наук (с даты присуждения ученой степени в соответствии с действующим законодательством).</w:t>
      </w:r>
    </w:p>
    <w:p w:rsidR="000F11CB" w:rsidRPr="000F11CB" w:rsidRDefault="000F11CB" w:rsidP="000A430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Руководителю образовательной организации устанавливаются следующие премиальные выплаты: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- по итогам работы за определенный период (за месяц, квартал, полугодие, год);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       - за выполнение особо важных и срочных заданий;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- за интенсивность и высокие результаты работы.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 Премиальные выплаты осуществляются в пределах фонда оплаты труда образовательной организации на основании приказа Отдела культуры Администрации Шумихинского муниципального округа Курганской области.</w:t>
      </w:r>
    </w:p>
    <w:p w:rsidR="000F11CB" w:rsidRPr="000F11CB" w:rsidRDefault="000F11CB" w:rsidP="000A430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За руководителем учреждения сохраняются виды и размеры надбавок, предусмотренные § 2 раздела IV настоящего Положения в отношении стажа работы.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 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к Положению об отраслевой системе оплаты труда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работников муниципального бюджетного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учреждения дополнительного образования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«Шумихинская школа искусств»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Профессиональные квалификационные группы должностей работников муниципального бюджетного учреждения дополнительного образования 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«Шумихинская школа искусств»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Профессиональная квалификационная группа должностей работников учебно-вспомогательного персонала первого уровня:</w:t>
      </w:r>
    </w:p>
    <w:tbl>
      <w:tblPr>
        <w:tblW w:w="96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2"/>
        <w:gridCol w:w="7088"/>
      </w:tblGrid>
      <w:tr w:rsidR="000F11CB" w:rsidRPr="000F11CB" w:rsidTr="000F11CB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712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2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секретарь учебной части</w:t>
            </w:r>
          </w:p>
        </w:tc>
      </w:tr>
    </w:tbl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Профессиональная квалификационная группа должностей педагогических работников:</w:t>
      </w: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6"/>
        <w:gridCol w:w="7059"/>
      </w:tblGrid>
      <w:tr w:rsidR="000F11CB" w:rsidRPr="000F11CB" w:rsidTr="000F11CB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71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71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образования, концертмейстер</w:t>
            </w:r>
          </w:p>
        </w:tc>
      </w:tr>
    </w:tbl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Профессиональная квалификационная группа должностей работников культуры и искусства, кинематографии:</w:t>
      </w: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6"/>
        <w:gridCol w:w="7059"/>
      </w:tblGrid>
      <w:tr w:rsidR="000F11CB" w:rsidRPr="000F11CB" w:rsidTr="000F11CB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группы</w:t>
            </w:r>
          </w:p>
        </w:tc>
        <w:tc>
          <w:tcPr>
            <w:tcW w:w="71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 к квалификационным группам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Ведущее звено</w:t>
            </w:r>
          </w:p>
        </w:tc>
        <w:tc>
          <w:tcPr>
            <w:tcW w:w="711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к Положению об отраслевой системе оплаты труда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работников муниципального бюджетного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учреждения дополнительного образования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«Шумихинская школа искусств»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    Определение повышающих коэффициентов, учитывающих специфику образовательного учреждения, к должностному окладу руководителя образовательного учреждения по результатам деятельности образовательного учреждения приведено в таблице 5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587"/>
        <w:gridCol w:w="1735"/>
        <w:gridCol w:w="566"/>
        <w:gridCol w:w="791"/>
        <w:gridCol w:w="120"/>
        <w:gridCol w:w="571"/>
        <w:gridCol w:w="885"/>
      </w:tblGrid>
      <w:tr w:rsidR="000F11CB" w:rsidRPr="000F11CB" w:rsidTr="000F11CB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«Шумихинская школа искусств»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специфику образовательного учреждения</w:t>
            </w: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0" w:type="dxa"/>
            <w:gridSpan w:val="5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показатель;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повышающего коэффициента, учитывающего специфику образовательного учреждения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1515" w:type="dxa"/>
            <w:gridSpan w:val="3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15" w:type="dxa"/>
            <w:gridSpan w:val="3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МБУДО «ШШИ», продолживших обучение или трудоустроившихся по специальности</w:t>
            </w: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940" w:type="dxa"/>
            <w:gridSpan w:val="5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940" w:type="dxa"/>
            <w:gridSpan w:val="5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ставших лауреатами региональных конкурсов, в год</w:t>
            </w: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(коллектив)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</w:t>
            </w:r>
          </w:p>
        </w:tc>
        <w:tc>
          <w:tcPr>
            <w:tcW w:w="1515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25" w:type="dxa"/>
            <w:gridSpan w:val="3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15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ставших лауреатами международных, всероссийских конкурсов, в год</w:t>
            </w: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(коллектив)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</w:t>
            </w:r>
          </w:p>
        </w:tc>
        <w:tc>
          <w:tcPr>
            <w:tcW w:w="1515" w:type="dxa"/>
            <w:gridSpan w:val="3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15" w:type="dxa"/>
            <w:gridSpan w:val="3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МБУДО «ШШИ», имеющих </w:t>
            </w: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первую и высшую квалификационные категории, в общем количестве работников МБУДО «ШШИ»</w:t>
            </w: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до 60</w:t>
            </w:r>
          </w:p>
        </w:tc>
        <w:tc>
          <w:tcPr>
            <w:tcW w:w="1515" w:type="dxa"/>
            <w:gridSpan w:val="3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60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15" w:type="dxa"/>
            <w:gridSpan w:val="3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научно-исследовательского характера, проведенных МБУДО «ШШИ» и методических изданий МБУДО «ШШИ»</w:t>
            </w: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7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84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630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88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15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7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30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5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которым предоставлена государственная услуга по проведению аттестации с целью установления квалификационной категории</w:t>
            </w: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515" w:type="dxa"/>
            <w:gridSpan w:val="3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100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15" w:type="dxa"/>
            <w:gridSpan w:val="3"/>
            <w:vAlign w:val="center"/>
            <w:hideMark/>
          </w:tcPr>
          <w:p w:rsidR="000F11CB" w:rsidRPr="000F11CB" w:rsidRDefault="000F11CB" w:rsidP="000F1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11CB" w:rsidRPr="000F11CB" w:rsidTr="000F11C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0F11CB" w:rsidRPr="000F11CB" w:rsidRDefault="000F11CB" w:rsidP="000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1CB" w:rsidRPr="000F11CB" w:rsidRDefault="000F11CB" w:rsidP="000F1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1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304" w:rsidRPr="000F11CB" w:rsidRDefault="000A4304" w:rsidP="000F11CB"/>
    <w:sectPr w:rsidR="000A4304" w:rsidRPr="000F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73D"/>
    <w:multiLevelType w:val="multilevel"/>
    <w:tmpl w:val="E234729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7D96"/>
    <w:multiLevelType w:val="multilevel"/>
    <w:tmpl w:val="5B4CFAA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D045B"/>
    <w:multiLevelType w:val="multilevel"/>
    <w:tmpl w:val="80440F3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47DEC"/>
    <w:multiLevelType w:val="multilevel"/>
    <w:tmpl w:val="38B860F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245C1"/>
    <w:multiLevelType w:val="multilevel"/>
    <w:tmpl w:val="6A06C7F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40678"/>
    <w:multiLevelType w:val="multilevel"/>
    <w:tmpl w:val="D1ECF5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329C1"/>
    <w:multiLevelType w:val="multilevel"/>
    <w:tmpl w:val="1B38AC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779D1"/>
    <w:multiLevelType w:val="multilevel"/>
    <w:tmpl w:val="528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524BC8"/>
    <w:multiLevelType w:val="multilevel"/>
    <w:tmpl w:val="170ED2B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C35A1"/>
    <w:multiLevelType w:val="multilevel"/>
    <w:tmpl w:val="4866FFC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52FDE"/>
    <w:multiLevelType w:val="multilevel"/>
    <w:tmpl w:val="3130841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F7CA1"/>
    <w:multiLevelType w:val="multilevel"/>
    <w:tmpl w:val="21EE29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9370C"/>
    <w:multiLevelType w:val="multilevel"/>
    <w:tmpl w:val="EEB0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AA73D5"/>
    <w:multiLevelType w:val="multilevel"/>
    <w:tmpl w:val="2B78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45E1E"/>
    <w:multiLevelType w:val="multilevel"/>
    <w:tmpl w:val="E8B032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2175E"/>
    <w:multiLevelType w:val="multilevel"/>
    <w:tmpl w:val="4870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2B3189"/>
    <w:multiLevelType w:val="multilevel"/>
    <w:tmpl w:val="001EEE2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073961"/>
    <w:multiLevelType w:val="multilevel"/>
    <w:tmpl w:val="18DAA70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035D0"/>
    <w:multiLevelType w:val="multilevel"/>
    <w:tmpl w:val="5614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E0B57"/>
    <w:multiLevelType w:val="multilevel"/>
    <w:tmpl w:val="70D4F7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4C2DFC"/>
    <w:multiLevelType w:val="multilevel"/>
    <w:tmpl w:val="B09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545163"/>
    <w:multiLevelType w:val="multilevel"/>
    <w:tmpl w:val="1D3C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4567EA"/>
    <w:multiLevelType w:val="multilevel"/>
    <w:tmpl w:val="74F2D7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B13B35"/>
    <w:multiLevelType w:val="multilevel"/>
    <w:tmpl w:val="5EFC88C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9470B9"/>
    <w:multiLevelType w:val="multilevel"/>
    <w:tmpl w:val="648006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BC3501"/>
    <w:multiLevelType w:val="multilevel"/>
    <w:tmpl w:val="6F0445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BE161C"/>
    <w:multiLevelType w:val="multilevel"/>
    <w:tmpl w:val="CACC8B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B70DF"/>
    <w:multiLevelType w:val="multilevel"/>
    <w:tmpl w:val="E60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0D77E8"/>
    <w:multiLevelType w:val="multilevel"/>
    <w:tmpl w:val="A8D0B0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CA013B"/>
    <w:multiLevelType w:val="multilevel"/>
    <w:tmpl w:val="A07051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927745"/>
    <w:multiLevelType w:val="multilevel"/>
    <w:tmpl w:val="C98A5A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57526"/>
    <w:multiLevelType w:val="multilevel"/>
    <w:tmpl w:val="F0F8FC7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B1BD0"/>
    <w:multiLevelType w:val="multilevel"/>
    <w:tmpl w:val="410E46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C9342F"/>
    <w:multiLevelType w:val="multilevel"/>
    <w:tmpl w:val="3F46CE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9F255C"/>
    <w:multiLevelType w:val="multilevel"/>
    <w:tmpl w:val="DE2A6A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864EE"/>
    <w:multiLevelType w:val="multilevel"/>
    <w:tmpl w:val="AA40D98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7B4993"/>
    <w:multiLevelType w:val="multilevel"/>
    <w:tmpl w:val="7C5EA7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5676F1"/>
    <w:multiLevelType w:val="multilevel"/>
    <w:tmpl w:val="8FD2EC7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10E47"/>
    <w:multiLevelType w:val="multilevel"/>
    <w:tmpl w:val="C6C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EA0C56"/>
    <w:multiLevelType w:val="multilevel"/>
    <w:tmpl w:val="F80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25"/>
  </w:num>
  <w:num w:numId="5">
    <w:abstractNumId w:val="6"/>
  </w:num>
  <w:num w:numId="6">
    <w:abstractNumId w:val="14"/>
  </w:num>
  <w:num w:numId="7">
    <w:abstractNumId w:val="36"/>
  </w:num>
  <w:num w:numId="8">
    <w:abstractNumId w:val="24"/>
  </w:num>
  <w:num w:numId="9">
    <w:abstractNumId w:val="39"/>
  </w:num>
  <w:num w:numId="10">
    <w:abstractNumId w:val="33"/>
  </w:num>
  <w:num w:numId="11">
    <w:abstractNumId w:val="26"/>
  </w:num>
  <w:num w:numId="12">
    <w:abstractNumId w:val="28"/>
  </w:num>
  <w:num w:numId="13">
    <w:abstractNumId w:val="27"/>
  </w:num>
  <w:num w:numId="14">
    <w:abstractNumId w:val="32"/>
  </w:num>
  <w:num w:numId="15">
    <w:abstractNumId w:val="15"/>
  </w:num>
  <w:num w:numId="16">
    <w:abstractNumId w:val="22"/>
  </w:num>
  <w:num w:numId="17">
    <w:abstractNumId w:val="13"/>
  </w:num>
  <w:num w:numId="18">
    <w:abstractNumId w:val="34"/>
  </w:num>
  <w:num w:numId="19">
    <w:abstractNumId w:val="38"/>
  </w:num>
  <w:num w:numId="20">
    <w:abstractNumId w:val="29"/>
  </w:num>
  <w:num w:numId="21">
    <w:abstractNumId w:val="5"/>
  </w:num>
  <w:num w:numId="22">
    <w:abstractNumId w:val="37"/>
  </w:num>
  <w:num w:numId="23">
    <w:abstractNumId w:val="3"/>
  </w:num>
  <w:num w:numId="24">
    <w:abstractNumId w:val="30"/>
  </w:num>
  <w:num w:numId="25">
    <w:abstractNumId w:val="35"/>
  </w:num>
  <w:num w:numId="26">
    <w:abstractNumId w:val="4"/>
  </w:num>
  <w:num w:numId="27">
    <w:abstractNumId w:val="23"/>
  </w:num>
  <w:num w:numId="28">
    <w:abstractNumId w:val="9"/>
  </w:num>
  <w:num w:numId="29">
    <w:abstractNumId w:val="31"/>
  </w:num>
  <w:num w:numId="30">
    <w:abstractNumId w:val="16"/>
  </w:num>
  <w:num w:numId="31">
    <w:abstractNumId w:val="19"/>
  </w:num>
  <w:num w:numId="32">
    <w:abstractNumId w:val="18"/>
  </w:num>
  <w:num w:numId="33">
    <w:abstractNumId w:val="17"/>
  </w:num>
  <w:num w:numId="34">
    <w:abstractNumId w:val="7"/>
  </w:num>
  <w:num w:numId="35">
    <w:abstractNumId w:val="1"/>
  </w:num>
  <w:num w:numId="36">
    <w:abstractNumId w:val="20"/>
  </w:num>
  <w:num w:numId="37">
    <w:abstractNumId w:val="8"/>
  </w:num>
  <w:num w:numId="38">
    <w:abstractNumId w:val="10"/>
  </w:num>
  <w:num w:numId="39">
    <w:abstractNumId w:val="2"/>
  </w:num>
  <w:num w:numId="40">
    <w:abstractNumId w:val="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9E7661"/>
    <w:rsid w:val="000A4304"/>
    <w:rsid w:val="000F11CB"/>
    <w:rsid w:val="001A6C47"/>
    <w:rsid w:val="002934BE"/>
    <w:rsid w:val="003D5441"/>
    <w:rsid w:val="00441BA6"/>
    <w:rsid w:val="009E7661"/>
    <w:rsid w:val="00AE0D48"/>
    <w:rsid w:val="00EC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C449241D20937AC928BF491F159F32A8DBBF3CC807A2395C2F5119CA33871708A478B7F1D2BCF3B5B7CCuCs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5445</Words>
  <Characters>31041</Characters>
  <Application>Microsoft Office Word</Application>
  <DocSecurity>0</DocSecurity>
  <Lines>258</Lines>
  <Paragraphs>72</Paragraphs>
  <ScaleCrop>false</ScaleCrop>
  <Company>Microsoft</Company>
  <LinksUpToDate>false</LinksUpToDate>
  <CharactersWithSpaces>36414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2022-09-28T10:51:00Z</dcterms:created>
  <dcterms:modified xsi:type="dcterms:W3CDTF">2022-09-28T10:51:00Z</dcterms:modified>
</cp:coreProperties>
</file>