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48" w:rsidRPr="00AE0D48" w:rsidRDefault="00AE0D48" w:rsidP="00AE0D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AE0D48" w:rsidRPr="00AE0D48" w:rsidRDefault="00AE0D48" w:rsidP="00AE0D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AE0D48" w:rsidRPr="00AE0D48" w:rsidRDefault="00AE0D48" w:rsidP="00AE0D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</w:t>
      </w:r>
    </w:p>
    <w:p w:rsidR="00AE0D48" w:rsidRPr="00AE0D48" w:rsidRDefault="00AE0D48" w:rsidP="00AE0D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AE0D48" w:rsidRPr="00AE0D48" w:rsidRDefault="00AE0D48" w:rsidP="00AE0D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от  15.03.2021 г. № 168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 г. Шумиха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Положения об отраслевой системе оплаты труда работников</w:t>
      </w:r>
      <w:r w:rsidRPr="00AE0D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0D48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муниципальных казенных учреждений культуры Шумихинского муниципального округа Курганской области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В соответствии со статьей 144 Трудового кодекса Российской Федерации, постановлением Правительства Курганской области от 14 августа 2012 г. № 366 «О введении отраслевой системы оплаты труда работников государственных автономных, бюджетных, казенных учреждений культуры, искусства и кинематографии Курганской области, подведомственных Управлению культуры Курганской области» Администрация Шумихинского муниципального округа Курганской области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ПОСТАНОВЛЯЕТ:    </w:t>
      </w:r>
    </w:p>
    <w:p w:rsidR="00AE0D48" w:rsidRPr="00AE0D48" w:rsidRDefault="00AE0D48" w:rsidP="00F524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Утвердить Положение об отраслевой системе оплаты труда работников муниципальных казенных учреждений культуры Шумихинского муниципального округа Курганской области согласно приложению 1 к настоящему постановлению.</w:t>
      </w:r>
    </w:p>
    <w:p w:rsidR="00AE0D48" w:rsidRPr="00AE0D48" w:rsidRDefault="00AE0D48" w:rsidP="00F524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Шумихинского района от 01.10.2020 г. № 408 «Об утверждении Положения об отраслевой системе оплаты </w:t>
      </w:r>
      <w:r w:rsidRPr="00AE0D48">
        <w:rPr>
          <w:rFonts w:ascii="Times New Roman" w:eastAsia="Times New Roman" w:hAnsi="Times New Roman" w:cs="Times New Roman"/>
          <w:sz w:val="24"/>
          <w:szCs w:val="24"/>
        </w:rPr>
        <w:lastRenderedPageBreak/>
        <w:t>труда работников муниципальных казенных учреждений культуры Шумихинского района»</w:t>
      </w:r>
    </w:p>
    <w:p w:rsidR="00AE0D48" w:rsidRPr="00AE0D48" w:rsidRDefault="00AE0D48" w:rsidP="00F524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3. 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AE0D48" w:rsidRPr="00AE0D48" w:rsidRDefault="00AE0D48" w:rsidP="00F524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Контроль за выполнением настоящего постановления возложить на заместителя Главы Шумихинского муниципального округа Курганской области.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                                                           С. И. Максимовских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Приложение к постановлению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Администрации Шумихинского муниципального округа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от 15.03.2021 года № 168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«Об утверждении Положения об отраслевой системе оплаты труда работников муниципальных казенных учреждений культуры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 Курганской области»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отраслевой системе оплаты труда работников муниципальных 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b/>
          <w:bCs/>
          <w:sz w:val="24"/>
          <w:szCs w:val="24"/>
        </w:rPr>
        <w:t>казенных учреждений культуры Шумихинского муниципального округа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I. Общие положения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F524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об отраслевой системе оплаты труда работников муниципальных казенных учреждений культуры Шумихинского муниципального округа Курганской области (далее – Положение), определяет порядок и условия </w:t>
      </w:r>
      <w:r w:rsidRPr="00AE0D48">
        <w:rPr>
          <w:rFonts w:ascii="Times New Roman" w:eastAsia="Times New Roman" w:hAnsi="Times New Roman" w:cs="Times New Roman"/>
          <w:sz w:val="24"/>
          <w:szCs w:val="24"/>
        </w:rPr>
        <w:lastRenderedPageBreak/>
        <w:t>оплаты труда работников муниципальных казенных учреждений культуры Шумихинского муниципального округа Курганской области (далее – учреждения), и разработано в соответствии с Трудовым кодексом Российской Федерации, постановлением Правительства Курганской области от 14 августа 2012 года № 366 " О введении отраслевой системы оплаты труда работников государственных учреждений культуры, искусства и кинематографии, подведомственных Управлению культуры Курганской области», постановлением Правительства Курганской области от 31.03.2009 г. № 152 «Об утверждении Положения об оплате труда работников по общеотраслевым должностям служащих и профессиям рабочих государственных учреждений Курганской области, где введены новые (отраслевые) системы оплаты труда», Приказом Министерства здравоохранения и социального развития Российской Федерации от 30 марта 2011 г. № 251н «Единый квалификационный справочник должностей руководителей, специалистов и служащих», иными нормативными правовыми актами Российской Федерации и Курганской области.</w:t>
      </w:r>
    </w:p>
    <w:p w:rsidR="00AE0D48" w:rsidRPr="00AE0D48" w:rsidRDefault="00AE0D48" w:rsidP="00F524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Настоящее Положение определяет порядок и условия оплаты труда специалистов культуры, искусства и кинематографии, руководителей, заместителей руководителей, главных бухгалтеров, заместителей главных бухгалтеров учреждений (далее - работники).</w:t>
      </w:r>
    </w:p>
    <w:p w:rsidR="00AE0D48" w:rsidRPr="00AE0D48" w:rsidRDefault="00AE0D48" w:rsidP="00F524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Порядок и условия оплаты труда в учреждениях по общеотраслевым должностям служащих и профессиям рабочих определяются в соответствии с постановлением Правительства Курганской области от 31 марта 2009 года № 152 «Об утверждении Положения об оплате труда работников по общеотраслевым должностям служащих и профессиям рабочих государственных учреждений Курганской области, где введены новые (отраслевые) системы оплаты труда». </w:t>
      </w:r>
    </w:p>
    <w:p w:rsidR="00AE0D48" w:rsidRPr="00AE0D48" w:rsidRDefault="00AE0D48" w:rsidP="00F524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Система оплаты труда работников учреждений устанавливается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правовыми актами Курганской области.</w:t>
      </w:r>
    </w:p>
    <w:p w:rsidR="00AE0D48" w:rsidRPr="00AE0D48" w:rsidRDefault="00AE0D48" w:rsidP="00F524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Выплата материальной помощи работникам осуществляется в пределах фонда оплаты труда учреждения.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 Выплата материальной помощи работникам учреждения, за исключением руководителя учреждения, осуществляется по решению руководителя учреждения.          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 Руководителю учреждения выплата материальной помощи осуществляется на основании приказа Отдела культуры Администрации Шумихинского муниципального округа Курганской области.</w:t>
      </w:r>
    </w:p>
    <w:p w:rsidR="00AE0D48" w:rsidRPr="00AE0D48" w:rsidRDefault="00AE0D48" w:rsidP="00F524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Работникам учреждений, расположенных в сельской местности, должностные оклады увеличиваются на двадцать пять процентов за работу в сельской местности.</w:t>
      </w:r>
    </w:p>
    <w:p w:rsidR="00AE0D48" w:rsidRPr="00AE0D48" w:rsidRDefault="00AE0D48" w:rsidP="00F524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AE0D48" w:rsidRPr="00AE0D48" w:rsidRDefault="00AE0D48" w:rsidP="00F524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Заработная плата работника предельными размерами не ограничивается.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II. Формирование фонда оплаты труда учреждения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AE0D48" w:rsidRPr="00AE0D48" w:rsidRDefault="00AE0D48" w:rsidP="00F524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Фонд оплаты труда учреждения формируются на календарный год за счет средств бюджета Шумихинского муниципального округа Курганской области в пределах бюджетных ассигнований, предусмотренных на соответствующие цели исходя из средней численности работников учреждения, включая внешних совместителей.</w:t>
      </w:r>
    </w:p>
    <w:p w:rsidR="00AE0D48" w:rsidRPr="00AE0D48" w:rsidRDefault="00AE0D48" w:rsidP="00F524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Фонд оплаты труда учреждения состоит из базовой и стимулирующей частей.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 Базовая часть фонда оплаты труда учреждения включает в себя должностные оклады работников учреждения, компенсационные выплаты, предусмотренные разделом V Положения.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 Стимулирующая часть фонда оплаты труда учреждения формируется в пределах экономии фонда оплаты труда.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E0D4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III. Порядок определения размеров должностных окладов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работников учреждения, за исключением руководителя учреждения, заместителей руководителя учреждения, главного бухгалтера, заместителя главного бухгалтера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AE0D48" w:rsidRPr="00AE0D48" w:rsidRDefault="00AE0D48" w:rsidP="00F524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Размеры должностных окладов работников учреждения, занимающих должности работников культуры, искусства, кинематографии, за исключением руководителя учреждения и его заместителей, главного бухгалтера и его заместителя, устанавливаются на основе отнесения занимаемых ими должностей с учетом образования и профессиональной переподготовки к соответствующим профессиональным квалификационным группам (далее — ПКГ) в соответствии с таблицей 1.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          (рубль)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11"/>
        <w:gridCol w:w="1734"/>
      </w:tblGrid>
      <w:tr w:rsidR="00AE0D48" w:rsidRPr="00AE0D48" w:rsidTr="00AE0D48">
        <w:trPr>
          <w:tblHeader/>
          <w:tblCellSpacing w:w="15" w:type="dxa"/>
        </w:trPr>
        <w:tc>
          <w:tcPr>
            <w:tcW w:w="7755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 Профессиональная квалификационная группа</w:t>
            </w:r>
          </w:p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                                                 </w:t>
            </w:r>
          </w:p>
        </w:tc>
        <w:tc>
          <w:tcPr>
            <w:tcW w:w="1695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Должностной оклад</w:t>
            </w:r>
          </w:p>
        </w:tc>
      </w:tr>
      <w:tr w:rsidR="00AE0D48" w:rsidRPr="00AE0D48" w:rsidTr="00AE0D48">
        <w:trPr>
          <w:tblCellSpacing w:w="15" w:type="dxa"/>
        </w:trPr>
        <w:tc>
          <w:tcPr>
            <w:tcW w:w="7755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Должности технических исполнителей и артистов вспомогательного состава</w:t>
            </w:r>
          </w:p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образование, среднее специальное непрофильное образование, начальное профессиональное образование</w:t>
            </w:r>
          </w:p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непрофильное, среднее специальное профильное образование</w:t>
            </w:r>
          </w:p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   профессиональное профильное образование</w:t>
            </w:r>
          </w:p>
        </w:tc>
        <w:tc>
          <w:tcPr>
            <w:tcW w:w="1695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6 700</w:t>
            </w:r>
          </w:p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7 200</w:t>
            </w:r>
          </w:p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7 700</w:t>
            </w:r>
          </w:p>
        </w:tc>
      </w:tr>
      <w:tr w:rsidR="00AE0D48" w:rsidRPr="00AE0D48" w:rsidTr="00AE0D48">
        <w:trPr>
          <w:tblCellSpacing w:w="15" w:type="dxa"/>
        </w:trPr>
        <w:tc>
          <w:tcPr>
            <w:tcW w:w="7755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Должности работников культуры, искусства и кинематографии среднего звена</w:t>
            </w:r>
          </w:p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образование, среднее специальное непрофильное образование, начальное профессиональное образование</w:t>
            </w:r>
          </w:p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непрофильное, среднее специальное профильное образование</w:t>
            </w:r>
          </w:p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   профессиональное профильное образование</w:t>
            </w:r>
          </w:p>
        </w:tc>
        <w:tc>
          <w:tcPr>
            <w:tcW w:w="1695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9 600 </w:t>
            </w:r>
          </w:p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10 100</w:t>
            </w:r>
          </w:p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10 600</w:t>
            </w:r>
          </w:p>
        </w:tc>
      </w:tr>
      <w:tr w:rsidR="00AE0D48" w:rsidRPr="00AE0D48" w:rsidTr="00AE0D48">
        <w:trPr>
          <w:tblCellSpacing w:w="15" w:type="dxa"/>
        </w:trPr>
        <w:tc>
          <w:tcPr>
            <w:tcW w:w="7755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Должности работников культуры, искусства и кинематографии ведущего звена</w:t>
            </w:r>
          </w:p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образование, среднее специальное непрофильное образование, начальное профессиональное образование,</w:t>
            </w:r>
          </w:p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непрофильное, среднее специальное профильное образование</w:t>
            </w:r>
          </w:p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   профессиональное профильное образование</w:t>
            </w:r>
          </w:p>
        </w:tc>
        <w:tc>
          <w:tcPr>
            <w:tcW w:w="1695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12 800</w:t>
            </w:r>
          </w:p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13 800</w:t>
            </w:r>
          </w:p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14 800</w:t>
            </w:r>
          </w:p>
        </w:tc>
      </w:tr>
      <w:tr w:rsidR="00AE0D48" w:rsidRPr="00AE0D48" w:rsidTr="00AE0D48">
        <w:trPr>
          <w:tblCellSpacing w:w="15" w:type="dxa"/>
        </w:trPr>
        <w:tc>
          <w:tcPr>
            <w:tcW w:w="7755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Должности руководящего состава учреждений культуры, искусства и кинематографии</w:t>
            </w:r>
          </w:p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образование, среднее специальное непрофильное образование, начальное профессиональное образование,</w:t>
            </w:r>
          </w:p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непрофильное, среднее специальное профильное образование</w:t>
            </w:r>
          </w:p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   профессиональное профильное образование</w:t>
            </w:r>
          </w:p>
        </w:tc>
        <w:tc>
          <w:tcPr>
            <w:tcW w:w="1695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14 800</w:t>
            </w:r>
          </w:p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15 800</w:t>
            </w:r>
          </w:p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16 800</w:t>
            </w:r>
          </w:p>
        </w:tc>
      </w:tr>
    </w:tbl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  Отнесение должностей работников культуры, искусства и кинематографии к ПКГ осуществляется в соответствии с приказом Министерства здравоохранения и социального развития Российской Федерации от 31 августа 2007 года № 570 «Об утверждении профессиональных квалификационных групп должностей работников культуры, искусства и кинематографии».</w:t>
      </w:r>
    </w:p>
    <w:p w:rsidR="00AE0D48" w:rsidRPr="00AE0D48" w:rsidRDefault="00AE0D48" w:rsidP="00F524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lastRenderedPageBreak/>
        <w:t>Порядок и условия оплаты труда в учреждениях по общеотраслевым должностям служащих и профессиям рабочих определяются в соответствии с постановлением Правительства Курганской области от 31 марта 2009 года № 152 «Об утверждении Положения об оплате труда работников по общеотраслевым должностям служащих и профессиям рабочих государственных учреждений Курганской области, где введены новые (отраслевые) системы оплаты труда».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  Размеры окладов (должностных окладов) работников занимаемых ими должностей к соответствующим ПКГ, утвержденным Приказом Министерства здравоохранения и социального развития Российской Федерации от 29 мая 2008 года №247н «Об утверждении профессиональных квалификационных групп общеотраслевых должностей руководителей, специалистов и служащих», в соответствии с таблицей 2.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          (рубль)</w:t>
      </w:r>
    </w:p>
    <w:tbl>
      <w:tblPr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8"/>
        <w:gridCol w:w="2703"/>
        <w:gridCol w:w="4055"/>
        <w:gridCol w:w="2004"/>
      </w:tblGrid>
      <w:tr w:rsidR="00AE0D48" w:rsidRPr="00AE0D48" w:rsidTr="00AE0D4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00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110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 служащих, отнесенные к квалификационным уровням</w:t>
            </w:r>
          </w:p>
        </w:tc>
        <w:tc>
          <w:tcPr>
            <w:tcW w:w="1980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Оклады (должностные оклады), рублей</w:t>
            </w:r>
          </w:p>
        </w:tc>
      </w:tr>
      <w:tr w:rsidR="00AE0D48" w:rsidRPr="00AE0D48" w:rsidTr="00AE0D4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gridSpan w:val="3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группа «Общеотраслевые должности служащих третьего уровня»</w:t>
            </w:r>
          </w:p>
        </w:tc>
      </w:tr>
      <w:tr w:rsidR="00AE0D48" w:rsidRPr="00AE0D48" w:rsidTr="00AE0D4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00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4110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Бухгалтер, документовед, инженер, инженер-программист (программист), экономист, юрисконсульт, эксперт, специалист по защите информации, специалист по охране труда</w:t>
            </w:r>
          </w:p>
        </w:tc>
        <w:tc>
          <w:tcPr>
            <w:tcW w:w="1980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8088</w:t>
            </w:r>
          </w:p>
        </w:tc>
      </w:tr>
      <w:tr w:rsidR="00AE0D48" w:rsidRPr="00AE0D48" w:rsidTr="00AE0D4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4110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 служащего первого квалификационного уровня, по которым может устанавливаться II внутридолжностная категория</w:t>
            </w:r>
          </w:p>
        </w:tc>
        <w:tc>
          <w:tcPr>
            <w:tcW w:w="1980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8556</w:t>
            </w:r>
          </w:p>
        </w:tc>
      </w:tr>
      <w:tr w:rsidR="00AE0D48" w:rsidRPr="00AE0D48" w:rsidTr="00AE0D4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4110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 служащего первого квалификационного уровня, по которым может устанавливаться I внутридолжностная категория</w:t>
            </w:r>
          </w:p>
        </w:tc>
        <w:tc>
          <w:tcPr>
            <w:tcW w:w="1980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9024</w:t>
            </w:r>
          </w:p>
        </w:tc>
      </w:tr>
      <w:tr w:rsidR="00AE0D48" w:rsidRPr="00AE0D48" w:rsidTr="00AE0D4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4-й квалификационный уровень</w:t>
            </w:r>
          </w:p>
        </w:tc>
        <w:tc>
          <w:tcPr>
            <w:tcW w:w="4110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 служащего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980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9396</w:t>
            </w:r>
          </w:p>
        </w:tc>
      </w:tr>
      <w:tr w:rsidR="00AE0D48" w:rsidRPr="00AE0D48" w:rsidTr="00AE0D4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5-й квалификационный уровень</w:t>
            </w:r>
          </w:p>
        </w:tc>
        <w:tc>
          <w:tcPr>
            <w:tcW w:w="4110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специалисты, заместитель главного бухгалтера, главный экономист</w:t>
            </w:r>
          </w:p>
        </w:tc>
        <w:tc>
          <w:tcPr>
            <w:tcW w:w="1980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9632</w:t>
            </w:r>
          </w:p>
        </w:tc>
      </w:tr>
    </w:tbl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IV. Порядок и условия установления стимулирующих выплат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AE0D48" w:rsidRPr="00AE0D48" w:rsidRDefault="00AE0D48" w:rsidP="00F524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b/>
          <w:bCs/>
          <w:sz w:val="24"/>
          <w:szCs w:val="24"/>
        </w:rPr>
        <w:t>1. Виды и порядок установления стимулирующих выплат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F524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В целях поощрения за выполненную работу работникам учреждения устанавливаются следующие виды стимулирующих выплат: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  - персональный повышающий коэффициент к должностному окладу;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  - за выслугу лет;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  - за интенсивность и высокие результаты работы;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  - за качество выполняемых работ;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  - за специфику работы;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  - повышающий коэффициент по занимаемой должности;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  - премиальные выплаты по итогам работы.</w:t>
      </w:r>
    </w:p>
    <w:p w:rsidR="00AE0D48" w:rsidRPr="00AE0D48" w:rsidRDefault="00AE0D48" w:rsidP="00F524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Применение повышающего коэффициента к должностному окладу не образует новый должностной оклад и не учитывается при начислении иных стимулирующих и компенсационных выплат.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 Стимулирующие выплаты при применении складываются между собой.</w:t>
      </w:r>
    </w:p>
    <w:p w:rsidR="00AE0D48" w:rsidRPr="00AE0D48" w:rsidRDefault="00AE0D48" w:rsidP="00F524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Размеры и условия осуществления выплат стимулирующего характера устанавливаются коллективным договором, соглашениями, локальными нормативными актами учреждения, принимаемыми с учетом мнения представительного органа работников на основе формализованных показателей и критериев эффективности работы.</w:t>
      </w:r>
    </w:p>
    <w:p w:rsidR="00AE0D48" w:rsidRPr="00AE0D48" w:rsidRDefault="00AE0D48" w:rsidP="00F524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Стимулирующие выплаты работникам учреждения, за исключением стимулирующих выплат руководителю учреждения, осуществляются по решению руководителя учреждения в пределах фонда оплаты труда учреждения.</w:t>
      </w:r>
    </w:p>
    <w:p w:rsidR="00AE0D48" w:rsidRPr="00AE0D48" w:rsidRDefault="00AE0D48" w:rsidP="00F524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Руководителю учреждения выплаты стимулирующего характера устанавливаются в соответствии с разделом VI Положения.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F524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b/>
          <w:bCs/>
          <w:sz w:val="24"/>
          <w:szCs w:val="24"/>
        </w:rPr>
        <w:t>2. Персональный повышающий коэффициент к должностному окладу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F5240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Персональный повышающий коэффициент к должностному окладу устанавливается в размере до 2,0 на определенный период времени в течение соответствующего календарного года.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 Решение об установлении персонального повышающего коэффициента к должностному окладу и его размере принимается руководителем учреждения персонально в отношении конкретного работника.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 Персональный повышающий коэффициент к должностному окладу устанавливается с учетом сложности, важности выполняемой работы, степени самостоятельности и ответственности при выполнении поставленных задач.</w:t>
      </w:r>
    </w:p>
    <w:p w:rsidR="00AE0D48" w:rsidRPr="00AE0D48" w:rsidRDefault="00AE0D48" w:rsidP="00F5240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b/>
          <w:bCs/>
          <w:sz w:val="24"/>
          <w:szCs w:val="24"/>
        </w:rPr>
        <w:t>3. Стимулирующие выплаты за выслугу лет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 Персональный повышающий коэффициент работникам учреждения устанавливается за стаж работы в организациях культуры – время работы по специальности, соответствующей профилю работы в организации культуры в коэффициентах от должностного оклада в следующих размерах: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- при выслуге от 2 до 5 лет – 0,1;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- при выслуге от 5 до 10 лет – 0,2;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- при выслуге свыше 10 лет – 0,3.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F524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b/>
          <w:bCs/>
          <w:sz w:val="24"/>
          <w:szCs w:val="24"/>
        </w:rPr>
        <w:t>4. Стимулирующая выплата за интенсивность и высокие результаты работы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F5240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Стимулирующая выплата за интенсивность и высокие результаты работы устанавливается: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 - работникам культурно-досуговых учреждений – за подготовку и проведение социально-значимых культурно-массовых мероприятий, а также по иным основаниям предусмотренные срокам нормативным актом учреждения, а также по иным основаниям предусмотренным локальным нормативным актом учреждения;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 - работникам музеев и библиотек - за организацию и проведение выставок (экспозиций), тематических лекций и других мероприятий.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 Размер стимулирующей выплаты за интенсивность и высокие результаты работы может устанавливаться как в абсолютном значении, так и в процентном отношении к должностному окладу.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 Стимулирующая выплата за интенсивность и высокие результаты работы устанавливается руководителем учреждения на срок не более 1 года.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E0D48" w:rsidRPr="00AE0D48" w:rsidRDefault="00AE0D48" w:rsidP="00F5240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b/>
          <w:bCs/>
          <w:sz w:val="24"/>
          <w:szCs w:val="24"/>
        </w:rPr>
        <w:t>5. Стимулирующая выплата за качество выполняемых работ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F5240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lastRenderedPageBreak/>
        <w:t>Стимулирующая выплата за качество выполняемых работ устанавливается работникам учреждения за наличие ученой степени, почетного звания по основному профилю профессиональной деятельности: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 двадцати процентов от должностного оклада - за ученую степень кандидата наук (с даты присуждения ученой степени в соответствии с действующим законодательством) или за почетное звание «Заслуженный»;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 тридцати процентов от должностного оклада - за ученую степень доктора наук (с даты присуждения ученой степени в соответствии с действующим законодательством) или за почетное звание «Народный»</w:t>
      </w:r>
      <w:r w:rsidRPr="00AE0D48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 Стимулирующая выплата к должностному окладу за наличие ученой степени или почетного звания устанавливается по одному из указанных оснований, имеющему большее значение.</w:t>
      </w:r>
    </w:p>
    <w:p w:rsidR="00AE0D48" w:rsidRPr="00AE0D48" w:rsidRDefault="00AE0D48" w:rsidP="00F5240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b/>
          <w:bCs/>
          <w:sz w:val="24"/>
          <w:szCs w:val="24"/>
        </w:rPr>
        <w:t>6. Премиальные выплаты по итогам работы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F5240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В целях поощрения работников за выполненную работу в учреждении осуществляются премиальные выплаты по итогам работы: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 - за определенный период (за месяц, квартал, полугодие, год);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      - за выполнение особо важных и срочных заданий;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 - за интенсивность и высокие результаты работы.</w:t>
      </w:r>
    </w:p>
    <w:p w:rsidR="00AE0D48" w:rsidRPr="00AE0D48" w:rsidRDefault="00AE0D48" w:rsidP="00F5240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Премиальные выплаты по итогам работы осуществляются: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 - заместителям руководителя учреждения, главному бухгалтеру, главным специалистам и иным работникам, подчиненным непосредственно руководителю учреждения - по решению руководителя учреждения;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 - руководителям структурных подразделений учреждения, главным специалистам и иным работникам, подчиненным непосредственно заместителям руководителя учреждения, - по представлению соответствующих заместителей руководителя учреждения;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 - иным работникам учреждения, подчиненным непосредственно руководителям структурных подразделений учреждения - по представлению соответствующих руководителей структурных подразделений учреждения.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 Заместителю руководителя учреждения в период исполнения им обязанностей руководителя учреждения премиальные выплаты по итогам работы осуществляются в соответствии с разделом VI Положения.</w:t>
      </w:r>
    </w:p>
    <w:p w:rsidR="00AE0D48" w:rsidRPr="00AE0D48" w:rsidRDefault="00AE0D48" w:rsidP="00F5240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Конкретный размер премиальных выплат по итогам работы может определяться как в процентах от должностного оклада, так и в абсолютном размере.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  Максимальным размером премиальные выплаты по итогам работы не ограничены.</w:t>
      </w:r>
    </w:p>
    <w:p w:rsidR="00AE0D48" w:rsidRPr="00AE0D48" w:rsidRDefault="00AE0D48" w:rsidP="00F5240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lastRenderedPageBreak/>
        <w:t>Премиальная выплата по итогам работы за определенный период (за месяц, квартал, полугодие, год) (далее - премия за календарный период) выплачивается с целью поощрения работника за общие результаты труда по итогам работы.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 При определении размера премии за календарный период учитываются: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 - успешное и добросовестное исполнение работником своих обязанностей в соответствующем периоде;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 - инициатива, творчество и применение в работе современных форм и методов организации труда;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 - выполнение порученной работы, связанной с обеспечением рабочего процесса или уставной деятельности учреждения;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 - участие в течение соответствующего периода в выполнении особо важных работ и мероприятий;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 - качественная подготовка и своевременное предоставление отчетности.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 Премия за календарный период выплачивается в пределах экономии фонда оплаты труда за соответствующий период.</w:t>
      </w:r>
    </w:p>
    <w:p w:rsidR="00AE0D48" w:rsidRPr="00AE0D48" w:rsidRDefault="00AE0D48" w:rsidP="00F5240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Премиальная выплата по итогам работы за выполнение особо важных и срочных заданий устанавливается работнику единовременно по итогам выполнения особо важных и срочных заданий с целью его поощрения за оперативность и качественный результат труда.</w:t>
      </w:r>
    </w:p>
    <w:p w:rsidR="00AE0D48" w:rsidRPr="00AE0D48" w:rsidRDefault="00AE0D48" w:rsidP="00F5240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Премиальная выплата по итогам работы за интенсивность и высокие результаты работы (далее - премия за интенсивность и высокие результаты работы) выплачивается работнику единовременно.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 При установлении премии за интенсивность и высокие результаты работы учитываются: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 - интенсивность и напряженность работы;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 - 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учреждения).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E0D4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V. Порядок и условия установления выплат компенсационного характера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E0D48" w:rsidRPr="00AE0D48" w:rsidRDefault="00AE0D48" w:rsidP="00F5240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Выплаты компенсационного характера, размеры и условия их установления работникам учреждения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AE0D48" w:rsidRPr="00AE0D48" w:rsidRDefault="00AE0D48" w:rsidP="00F5240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lastRenderedPageBreak/>
        <w:t>Выплаты компенсационного характера работникам, занятым на работах в условиях, отклоняющихся от нормальных, устанавливаются в соответствии с постановлением Администрации (Правительства) Курганской области от 26 июня 2006 года № 217 «Об утверждении порядков и условий применения выплат компенсационного характера работникам государственных учреждений Курганской области, занятым на работах в условиях, отклоняющихся от нормальных».</w:t>
      </w:r>
    </w:p>
    <w:p w:rsidR="00AE0D48" w:rsidRPr="00AE0D48" w:rsidRDefault="00AE0D48" w:rsidP="00F5240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Коэффициент за работу в местностях с особыми климатическими условиями (районный коэффициент) в Курганской области применяется в размере 0,15 к общей сумме начисленной заработной платы.</w:t>
      </w:r>
    </w:p>
    <w:p w:rsidR="00AE0D48" w:rsidRPr="00AE0D48" w:rsidRDefault="00AE0D48" w:rsidP="00F5240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AE0D48" w:rsidRPr="00AE0D48" w:rsidRDefault="00AE0D48" w:rsidP="00F5240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Доплата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AE0D48" w:rsidRPr="00AE0D48" w:rsidRDefault="00AE0D48" w:rsidP="00F5240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AE0D48" w:rsidRPr="00AE0D48" w:rsidRDefault="00AE0D48" w:rsidP="00F5240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Сверхурочная работа оплачивается за первые два часа работы не менее чем в полуторном размере, за последующие часы - не менее чем в двойном размере в соответствии со статьей 152 Трудового кодекса Российской Федерации.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 Конкретные размеры оплаты за сверхурочную работу могут определяться коллективным договором, локальным нормативным актом учреждения или трудовым договором.</w:t>
      </w:r>
    </w:p>
    <w:p w:rsidR="00AE0D48" w:rsidRPr="00AE0D48" w:rsidRDefault="00AE0D48" w:rsidP="00F5240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153 Трудового кодекса Российской Федерации работа в выходной или нерабочий праздничный день оплачивается в размере не менее одинарной части должностного оклада за день или час работы сверх должностного оклада, если работа в выходной или нерабочий праздничный день производилась в пределах месячной нормы рабочего времени, и в размере не менее двойной части должностного оклада за день или час работы сверх должностного оклада, если работа производилась сверх месячной нормы рабочего времени.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 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 учреждения, принимаемым с учетом мнения представительного органа работников, трудовым договором.</w:t>
      </w:r>
    </w:p>
    <w:p w:rsidR="00AE0D48" w:rsidRPr="00AE0D48" w:rsidRDefault="00AE0D48" w:rsidP="00F5240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 xml:space="preserve">Размер повышения оплаты труда за работу в ночное время (с 22 часов до 6 часов) устанавливается коллективным договором, локальным нормативным актом учреждения, принимаемым с учетом мнения представительного органа работников, трудовым договором и составляет не менее тридцати пяти процентов </w:t>
      </w:r>
      <w:r w:rsidRPr="00AE0D48">
        <w:rPr>
          <w:rFonts w:ascii="Times New Roman" w:eastAsia="Times New Roman" w:hAnsi="Times New Roman" w:cs="Times New Roman"/>
          <w:sz w:val="24"/>
          <w:szCs w:val="24"/>
        </w:rPr>
        <w:lastRenderedPageBreak/>
        <w:t>должностного оклада, рассчитанного за час работы, за каждый час работы в ночное время.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 Расчет части должностного оклада за час работы определяется путем деления должностного оклада работника на среднемесячное количество рабочих часов в соответствующем календарном году.</w:t>
      </w:r>
    </w:p>
    <w:p w:rsidR="00AE0D48" w:rsidRPr="00AE0D48" w:rsidRDefault="00AE0D48" w:rsidP="00F5240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Выплаты компенсационного характера, установленные в процентном отношении к должностному окладу, рассчитываются от должностного оклада без учета повышающих коэффициентов.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VI. Порядок и условия оплаты труда руководителя учреждения, заместителей руководителя учреждения, главного бухгалтера, заместителя главного бухгалтера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E0D48" w:rsidRPr="00AE0D48" w:rsidRDefault="00AE0D48" w:rsidP="00F5240A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F5240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Заработная плата руководителя учреждения, заместителей руководителя учреждения, главного бухгалтера и заместителя главного бухгалтера состоит из должностного оклада, выплат стимулирующего и компенсационного характера.</w:t>
      </w:r>
    </w:p>
    <w:p w:rsidR="00AE0D48" w:rsidRPr="00AE0D48" w:rsidRDefault="00AE0D48" w:rsidP="00F5240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Условия оплаты труда руководителя учреждения устанавливаются в трудовом договоре (дополнительном соглашении к трудовому договору), оформляемом в соответствии с типовой формой трудового договора с руководителем государственного (муниципального) учреждения, утвержденной постановлением Правительства Российской Федерации от 12 апреля 2013 года № 329 «О типовой форме трудового договора с руководителем государственного (муниципального) учреждения», с учетом настоящего Положения.</w:t>
      </w:r>
    </w:p>
    <w:p w:rsidR="00AE0D48" w:rsidRPr="00AE0D48" w:rsidRDefault="00AE0D48" w:rsidP="00F5240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Порядок осуществления стимулирующих выплат заместителям руководителя учреждения, главному бухгалтеру и заместителю главного бухгалтера устанавливается в соответствии с разделом IV Положения.</w:t>
      </w:r>
    </w:p>
    <w:p w:rsidR="00AE0D48" w:rsidRPr="00AE0D48" w:rsidRDefault="00AE0D48" w:rsidP="00F5240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Выплаты компенсационного характера руководителю учреждения, заместителям руководителя учреждения, главному бухгалтеру и заместителю главного бухгалтера устанавливаются в соответствии с разделом V Положения.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E0D48" w:rsidRPr="00AE0D48" w:rsidRDefault="00AE0D48" w:rsidP="00F5240A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b/>
          <w:bCs/>
          <w:sz w:val="24"/>
          <w:szCs w:val="24"/>
        </w:rPr>
        <w:t>2. Порядок определения размеров должностных окладов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F5240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Размер должностного оклада руководителя учреждения устанавливается в соответствии с таблицей 3.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Таблица 3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(рубль)</w:t>
      </w:r>
    </w:p>
    <w:tbl>
      <w:tblPr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9"/>
        <w:gridCol w:w="4111"/>
      </w:tblGrid>
      <w:tr w:rsidR="00AE0D48" w:rsidRPr="00AE0D48" w:rsidTr="00AE0D48">
        <w:trPr>
          <w:tblCellSpacing w:w="15" w:type="dxa"/>
        </w:trPr>
        <w:tc>
          <w:tcPr>
            <w:tcW w:w="5490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4110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Должностной оклад</w:t>
            </w:r>
          </w:p>
        </w:tc>
      </w:tr>
      <w:tr w:rsidR="00AE0D48" w:rsidRPr="00AE0D48" w:rsidTr="00AE0D48">
        <w:trPr>
          <w:tblCellSpacing w:w="15" w:type="dxa"/>
        </w:trPr>
        <w:tc>
          <w:tcPr>
            <w:tcW w:w="5490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культуры «Шумихинский  Дом культуры»</w:t>
            </w:r>
          </w:p>
        </w:tc>
        <w:tc>
          <w:tcPr>
            <w:tcW w:w="4110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18 500</w:t>
            </w:r>
          </w:p>
        </w:tc>
      </w:tr>
      <w:tr w:rsidR="00AE0D48" w:rsidRPr="00AE0D48" w:rsidTr="00AE0D48">
        <w:trPr>
          <w:tblCellSpacing w:w="15" w:type="dxa"/>
        </w:trPr>
        <w:tc>
          <w:tcPr>
            <w:tcW w:w="5490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  казенное учреждение культуры «Шумихинская центральная районная библиотека»</w:t>
            </w:r>
          </w:p>
        </w:tc>
        <w:tc>
          <w:tcPr>
            <w:tcW w:w="4110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18 500</w:t>
            </w:r>
          </w:p>
        </w:tc>
      </w:tr>
    </w:tbl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 Руководителям учреждений, расположенных в сельской местности, устанавливаются повышенные на двадцать пять процентов должностные оклады за работу в сельской местности.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 Должностной оклад художественного руководителя учреждения устанавливается на уровне должностного оклада руководителя учреждения при условии, если художественный руководитель осуществляет руководство организацией исполнительских искусств на основе единоначалия.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 Должностные оклады заместителей руководителя учреждения и главного бухгалтера учреждения устанавливаются на десять - тридцать процентов ниже должностного оклада руководителя учреждения.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 Должностной оклад заместителя главного бухгалтера учреждения устанавливается на десять - тридцать процентов ниже должностного оклада главного бухгалтера учреждения.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F5240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b/>
          <w:bCs/>
          <w:sz w:val="24"/>
          <w:szCs w:val="24"/>
        </w:rPr>
        <w:t>3. Порядок и условия установления стимулирующих выплат руководителю учреждения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F5240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Руководителю учреждения устанавливается повышающий коэффициент к должностному окладу, учитывающий специфику учреждения (далее - повышающий коэффициент, учитывающий специфику учреждения).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 Повышающий коэффициент, учитывающий специфику учреждения, устанавливается в соответствии с показателями, характеризующими специфику учреждения (Приложения 1).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 Размер выплаты по повышающему коэффициенту, учитывающему специфику учреждения, определяется путем умножения должностного оклада на повышающий коэффициент.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Предельный размер суммы повышающих коэффициентов к должностному окладу – 2,0.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lastRenderedPageBreak/>
        <w:t> Размер повышающего коэффициента устанавливается приказом начальника Отдела культуры Администрации Шумихинского муниципального округа. Повышающий коэффициент устанавливается на календарный год, в течение которого может быть сохранен или отменен.</w:t>
      </w:r>
    </w:p>
    <w:p w:rsidR="00AE0D48" w:rsidRPr="00AE0D48" w:rsidRDefault="00AE0D48" w:rsidP="00F5240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Руководителю учреждения устанавливается ежемесячная стимулирующая выплата за эффективность приносящей доход деятельности учреждения в размере одного процента от суммы дохода, полученного учреждением в соответствующем месяце от предпринимательской и иной приносящей доход деятельности.</w:t>
      </w:r>
    </w:p>
    <w:p w:rsidR="00AE0D48" w:rsidRPr="00AE0D48" w:rsidRDefault="00AE0D48" w:rsidP="00F5240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Руководителю учреждения устанавливается ежемесячная стимулирующая выплата за наличие ученой степени и (или) почетного звания в размере: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 двадцати процентов от должностного оклада - за ученую степень кандидата наук (с даты присуждения ученой степени в соответствии с действующим законодательством) или за почетное звание «Заслуженный»;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 тридцати процентов от должностного оклада - за ученую степень доктора наук (с даты присуждения ученой степени в соответствии с действующим законодательством).</w:t>
      </w:r>
    </w:p>
    <w:p w:rsidR="00AE0D48" w:rsidRPr="00AE0D48" w:rsidRDefault="00AE0D48" w:rsidP="00F5240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Руководителю учреждения устанавливаются следующие премиальные выплаты: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 - по итогам работы за определенный период (за месяц, квартал, полугодие, год);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 - за выполнение особо важных и срочных заданий;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 - за интенсивность и высокие результаты работы.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 Премиальные выплаты осуществляются в пределах фонда оплаты труда учреждения на основании приказа Отдела культуры Администрации Шумихинского муниципального округа Курганской области.</w:t>
      </w:r>
    </w:p>
    <w:p w:rsidR="00AE0D48" w:rsidRPr="00AE0D48" w:rsidRDefault="00AE0D48" w:rsidP="00F5240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За руководителем учреждения сохраняются виды и размеры надбавок, предусмотренные § 2 раздела IV настоящего Положения в отношении стажа работы.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Администрации Шумихинского муниципального округа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от  15.03.2021 года №  168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«Об утверждении Положения об отраслевой системе оплаты труда работников муниципальных казенных учреждений культуры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 Курганской области»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Определение повышающих коэффициентов, учитывающих специфику учреждения, к должностному окладу по результатам деятельности учреждения приведено в таблице.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                                               Таблица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6"/>
        <w:gridCol w:w="2331"/>
        <w:gridCol w:w="1505"/>
        <w:gridCol w:w="1282"/>
        <w:gridCol w:w="120"/>
        <w:gridCol w:w="1302"/>
        <w:gridCol w:w="1339"/>
      </w:tblGrid>
      <w:tr w:rsidR="00AE0D48" w:rsidRPr="00AE0D48" w:rsidTr="00AE0D48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 учреждения</w:t>
            </w:r>
          </w:p>
        </w:tc>
        <w:tc>
          <w:tcPr>
            <w:tcW w:w="2325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 учитывающий специфику учреждения</w:t>
            </w:r>
          </w:p>
        </w:tc>
        <w:tc>
          <w:tcPr>
            <w:tcW w:w="1500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185" w:type="dxa"/>
            <w:gridSpan w:val="4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Объемный показатель;</w:t>
            </w:r>
          </w:p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повышающих коэффициентов,</w:t>
            </w:r>
          </w:p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учитывающих специфику учреждения</w:t>
            </w:r>
          </w:p>
        </w:tc>
      </w:tr>
      <w:tr w:rsidR="00AE0D48" w:rsidRPr="00AE0D48" w:rsidTr="00AE0D48">
        <w:trPr>
          <w:tblCellSpacing w:w="15" w:type="dxa"/>
        </w:trPr>
        <w:tc>
          <w:tcPr>
            <w:tcW w:w="1560" w:type="dxa"/>
            <w:vMerge w:val="restart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«ШЦРБ»</w:t>
            </w:r>
          </w:p>
        </w:tc>
        <w:tc>
          <w:tcPr>
            <w:tcW w:w="2325" w:type="dxa"/>
            <w:vMerge w:val="restart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документов, выданных из фонда библиотеки</w:t>
            </w:r>
          </w:p>
        </w:tc>
        <w:tc>
          <w:tcPr>
            <w:tcW w:w="1500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Тысяча экземпляров</w:t>
            </w:r>
          </w:p>
        </w:tc>
        <w:tc>
          <w:tcPr>
            <w:tcW w:w="1395" w:type="dxa"/>
            <w:gridSpan w:val="2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До 200</w:t>
            </w:r>
          </w:p>
        </w:tc>
        <w:tc>
          <w:tcPr>
            <w:tcW w:w="1395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От 200 до 400</w:t>
            </w:r>
          </w:p>
        </w:tc>
        <w:tc>
          <w:tcPr>
            <w:tcW w:w="1395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400</w:t>
            </w:r>
          </w:p>
        </w:tc>
      </w:tr>
      <w:tr w:rsidR="00AE0D48" w:rsidRPr="00AE0D48" w:rsidTr="00AE0D4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0D48" w:rsidRPr="00AE0D48" w:rsidRDefault="00AE0D48" w:rsidP="00AE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0D48" w:rsidRPr="00AE0D48" w:rsidRDefault="00AE0D48" w:rsidP="00AE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395" w:type="dxa"/>
            <w:gridSpan w:val="2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95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395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E0D48" w:rsidRPr="00AE0D48" w:rsidTr="00AE0D4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0D48" w:rsidRPr="00AE0D48" w:rsidRDefault="00AE0D48" w:rsidP="00AE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 w:val="restart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зарегистрированных пользователей</w:t>
            </w:r>
          </w:p>
        </w:tc>
        <w:tc>
          <w:tcPr>
            <w:tcW w:w="1500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Тысяча человек</w:t>
            </w:r>
          </w:p>
        </w:tc>
        <w:tc>
          <w:tcPr>
            <w:tcW w:w="1395" w:type="dxa"/>
            <w:gridSpan w:val="2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До 2</w:t>
            </w:r>
          </w:p>
        </w:tc>
        <w:tc>
          <w:tcPr>
            <w:tcW w:w="1395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От 2 до 10</w:t>
            </w:r>
          </w:p>
        </w:tc>
        <w:tc>
          <w:tcPr>
            <w:tcW w:w="1395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10</w:t>
            </w:r>
          </w:p>
        </w:tc>
      </w:tr>
      <w:tr w:rsidR="00AE0D48" w:rsidRPr="00AE0D48" w:rsidTr="00AE0D4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0D48" w:rsidRPr="00AE0D48" w:rsidRDefault="00AE0D48" w:rsidP="00AE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0D48" w:rsidRPr="00AE0D48" w:rsidRDefault="00AE0D48" w:rsidP="00AE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395" w:type="dxa"/>
            <w:gridSpan w:val="2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95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95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AE0D48" w:rsidRPr="00AE0D48" w:rsidTr="00AE0D48">
        <w:trPr>
          <w:tblCellSpacing w:w="15" w:type="dxa"/>
        </w:trPr>
        <w:tc>
          <w:tcPr>
            <w:tcW w:w="1560" w:type="dxa"/>
            <w:vMerge w:val="restart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«ШДК»</w:t>
            </w:r>
          </w:p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vMerge w:val="restart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массовых мероприятий, спектаклей, концертов</w:t>
            </w:r>
          </w:p>
        </w:tc>
        <w:tc>
          <w:tcPr>
            <w:tcW w:w="1500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380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До 100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От 100 до 300</w:t>
            </w:r>
          </w:p>
        </w:tc>
        <w:tc>
          <w:tcPr>
            <w:tcW w:w="1395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300</w:t>
            </w:r>
          </w:p>
        </w:tc>
      </w:tr>
      <w:tr w:rsidR="00AE0D48" w:rsidRPr="00AE0D48" w:rsidTr="00AE0D4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0D48" w:rsidRPr="00AE0D48" w:rsidRDefault="00AE0D48" w:rsidP="00AE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0D48" w:rsidRPr="00AE0D48" w:rsidRDefault="00AE0D48" w:rsidP="00AE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95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AE0D48" w:rsidRPr="00AE0D48" w:rsidTr="00AE0D4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0D48" w:rsidRPr="00AE0D48" w:rsidRDefault="00AE0D48" w:rsidP="00AE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 w:val="restart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посетителей массовых мероприятий, спектаклей, концертов</w:t>
            </w:r>
          </w:p>
        </w:tc>
        <w:tc>
          <w:tcPr>
            <w:tcW w:w="1500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Тысяча человек</w:t>
            </w:r>
          </w:p>
        </w:tc>
        <w:tc>
          <w:tcPr>
            <w:tcW w:w="1380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От 11 до 50</w:t>
            </w:r>
          </w:p>
        </w:tc>
        <w:tc>
          <w:tcPr>
            <w:tcW w:w="1395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50</w:t>
            </w:r>
          </w:p>
        </w:tc>
      </w:tr>
      <w:tr w:rsidR="00AE0D48" w:rsidRPr="00AE0D48" w:rsidTr="00AE0D4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E0D48" w:rsidRPr="00AE0D48" w:rsidRDefault="00AE0D48" w:rsidP="00AE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0D48" w:rsidRPr="00AE0D48" w:rsidRDefault="00AE0D48" w:rsidP="00AE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95" w:type="dxa"/>
            <w:vAlign w:val="center"/>
            <w:hideMark/>
          </w:tcPr>
          <w:p w:rsidR="00AE0D48" w:rsidRPr="00AE0D48" w:rsidRDefault="00AE0D48" w:rsidP="00AE0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E0D48" w:rsidRPr="00AE0D48" w:rsidTr="00AE0D48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AE0D48" w:rsidRPr="00AE0D48" w:rsidRDefault="00AE0D48" w:rsidP="00AE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:rsidR="00AE0D48" w:rsidRPr="00AE0D48" w:rsidRDefault="00AE0D48" w:rsidP="00AE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AE0D48" w:rsidRPr="00AE0D48" w:rsidRDefault="00AE0D48" w:rsidP="00AE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AE0D48" w:rsidRPr="00AE0D48" w:rsidRDefault="00AE0D48" w:rsidP="00AE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AE0D48" w:rsidRPr="00AE0D48" w:rsidRDefault="00AE0D48" w:rsidP="00AE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AE0D48" w:rsidRPr="00AE0D48" w:rsidRDefault="00AE0D48" w:rsidP="00AE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vAlign w:val="center"/>
            <w:hideMark/>
          </w:tcPr>
          <w:p w:rsidR="00AE0D48" w:rsidRPr="00AE0D48" w:rsidRDefault="00AE0D48" w:rsidP="00AE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D48" w:rsidRPr="00AE0D48" w:rsidRDefault="00AE0D48" w:rsidP="00AE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240A" w:rsidRPr="00AE0D48" w:rsidRDefault="00F5240A" w:rsidP="00AE0D48"/>
    <w:sectPr w:rsidR="00F5240A" w:rsidRPr="00AE0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533"/>
    <w:multiLevelType w:val="multilevel"/>
    <w:tmpl w:val="7DF21D5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F3629"/>
    <w:multiLevelType w:val="multilevel"/>
    <w:tmpl w:val="FF52BAC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46655"/>
    <w:multiLevelType w:val="multilevel"/>
    <w:tmpl w:val="0C3CD1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6653E"/>
    <w:multiLevelType w:val="multilevel"/>
    <w:tmpl w:val="A88476C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DE0240"/>
    <w:multiLevelType w:val="multilevel"/>
    <w:tmpl w:val="EF120E08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830F84"/>
    <w:multiLevelType w:val="multilevel"/>
    <w:tmpl w:val="D8D86B6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E6314F"/>
    <w:multiLevelType w:val="multilevel"/>
    <w:tmpl w:val="C9708AF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91036"/>
    <w:multiLevelType w:val="multilevel"/>
    <w:tmpl w:val="2758AE1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270F5"/>
    <w:multiLevelType w:val="multilevel"/>
    <w:tmpl w:val="7304E4C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0F4E27"/>
    <w:multiLevelType w:val="multilevel"/>
    <w:tmpl w:val="D4426F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CF5CEB"/>
    <w:multiLevelType w:val="multilevel"/>
    <w:tmpl w:val="E8769E1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E569EE"/>
    <w:multiLevelType w:val="multilevel"/>
    <w:tmpl w:val="30DEF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73D93"/>
    <w:multiLevelType w:val="multilevel"/>
    <w:tmpl w:val="F6B8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426B81"/>
    <w:multiLevelType w:val="multilevel"/>
    <w:tmpl w:val="006A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E738FD"/>
    <w:multiLevelType w:val="multilevel"/>
    <w:tmpl w:val="E91A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B158AA"/>
    <w:multiLevelType w:val="multilevel"/>
    <w:tmpl w:val="5B485FB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FC6561"/>
    <w:multiLevelType w:val="multilevel"/>
    <w:tmpl w:val="FBAE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AF2662"/>
    <w:multiLevelType w:val="multilevel"/>
    <w:tmpl w:val="8A42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2C23CB"/>
    <w:multiLevelType w:val="multilevel"/>
    <w:tmpl w:val="AA50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0A006E"/>
    <w:multiLevelType w:val="multilevel"/>
    <w:tmpl w:val="636A768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AB4939"/>
    <w:multiLevelType w:val="multilevel"/>
    <w:tmpl w:val="C39E1F8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497F42"/>
    <w:multiLevelType w:val="multilevel"/>
    <w:tmpl w:val="A154875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2974F1"/>
    <w:multiLevelType w:val="multilevel"/>
    <w:tmpl w:val="24AE7DF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7B00A8"/>
    <w:multiLevelType w:val="multilevel"/>
    <w:tmpl w:val="98EAC08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636594"/>
    <w:multiLevelType w:val="multilevel"/>
    <w:tmpl w:val="47F4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461B62"/>
    <w:multiLevelType w:val="multilevel"/>
    <w:tmpl w:val="527E111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5131C9"/>
    <w:multiLevelType w:val="multilevel"/>
    <w:tmpl w:val="2D5C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AB2E06"/>
    <w:multiLevelType w:val="multilevel"/>
    <w:tmpl w:val="B3B252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466871"/>
    <w:multiLevelType w:val="multilevel"/>
    <w:tmpl w:val="19CC262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7E232F"/>
    <w:multiLevelType w:val="multilevel"/>
    <w:tmpl w:val="119005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9443D8"/>
    <w:multiLevelType w:val="multilevel"/>
    <w:tmpl w:val="DA44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E853C6"/>
    <w:multiLevelType w:val="multilevel"/>
    <w:tmpl w:val="3B92CEB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2E2EE0"/>
    <w:multiLevelType w:val="multilevel"/>
    <w:tmpl w:val="15B4EC6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EB611A"/>
    <w:multiLevelType w:val="multilevel"/>
    <w:tmpl w:val="BA1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B22800"/>
    <w:multiLevelType w:val="multilevel"/>
    <w:tmpl w:val="A83C903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E959A6"/>
    <w:multiLevelType w:val="multilevel"/>
    <w:tmpl w:val="E3328C3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11"/>
  </w:num>
  <w:num w:numId="3">
    <w:abstractNumId w:val="29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27"/>
  </w:num>
  <w:num w:numId="9">
    <w:abstractNumId w:val="3"/>
  </w:num>
  <w:num w:numId="10">
    <w:abstractNumId w:val="6"/>
  </w:num>
  <w:num w:numId="11">
    <w:abstractNumId w:val="16"/>
  </w:num>
  <w:num w:numId="12">
    <w:abstractNumId w:val="8"/>
  </w:num>
  <w:num w:numId="13">
    <w:abstractNumId w:val="30"/>
  </w:num>
  <w:num w:numId="14">
    <w:abstractNumId w:val="24"/>
  </w:num>
  <w:num w:numId="15">
    <w:abstractNumId w:val="15"/>
  </w:num>
  <w:num w:numId="16">
    <w:abstractNumId w:val="14"/>
  </w:num>
  <w:num w:numId="17">
    <w:abstractNumId w:val="19"/>
  </w:num>
  <w:num w:numId="18">
    <w:abstractNumId w:val="18"/>
  </w:num>
  <w:num w:numId="19">
    <w:abstractNumId w:val="7"/>
  </w:num>
  <w:num w:numId="20">
    <w:abstractNumId w:val="5"/>
  </w:num>
  <w:num w:numId="21">
    <w:abstractNumId w:val="35"/>
  </w:num>
  <w:num w:numId="22">
    <w:abstractNumId w:val="34"/>
  </w:num>
  <w:num w:numId="23">
    <w:abstractNumId w:val="28"/>
  </w:num>
  <w:num w:numId="24">
    <w:abstractNumId w:val="0"/>
  </w:num>
  <w:num w:numId="25">
    <w:abstractNumId w:val="10"/>
  </w:num>
  <w:num w:numId="26">
    <w:abstractNumId w:val="23"/>
  </w:num>
  <w:num w:numId="27">
    <w:abstractNumId w:val="21"/>
  </w:num>
  <w:num w:numId="28">
    <w:abstractNumId w:val="26"/>
  </w:num>
  <w:num w:numId="29">
    <w:abstractNumId w:val="32"/>
  </w:num>
  <w:num w:numId="30">
    <w:abstractNumId w:val="12"/>
  </w:num>
  <w:num w:numId="31">
    <w:abstractNumId w:val="31"/>
  </w:num>
  <w:num w:numId="32">
    <w:abstractNumId w:val="17"/>
  </w:num>
  <w:num w:numId="33">
    <w:abstractNumId w:val="22"/>
  </w:num>
  <w:num w:numId="34">
    <w:abstractNumId w:val="4"/>
  </w:num>
  <w:num w:numId="35">
    <w:abstractNumId w:val="25"/>
  </w:num>
  <w:num w:numId="36">
    <w:abstractNumId w:val="20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9E7661"/>
    <w:rsid w:val="001A6C47"/>
    <w:rsid w:val="002934BE"/>
    <w:rsid w:val="003D5441"/>
    <w:rsid w:val="00441BA6"/>
    <w:rsid w:val="009E7661"/>
    <w:rsid w:val="00AE0D48"/>
    <w:rsid w:val="00EC7E54"/>
    <w:rsid w:val="00F52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7661"/>
    <w:rPr>
      <w:b/>
      <w:bCs/>
    </w:rPr>
  </w:style>
  <w:style w:type="character" w:styleId="a5">
    <w:name w:val="Hyperlink"/>
    <w:basedOn w:val="a0"/>
    <w:uiPriority w:val="99"/>
    <w:semiHidden/>
    <w:unhideWhenUsed/>
    <w:rsid w:val="009E766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D5441"/>
    <w:rPr>
      <w:color w:val="800080"/>
      <w:u w:val="single"/>
    </w:rPr>
  </w:style>
  <w:style w:type="character" w:styleId="a7">
    <w:name w:val="Emphasis"/>
    <w:basedOn w:val="a0"/>
    <w:uiPriority w:val="20"/>
    <w:qFormat/>
    <w:rsid w:val="003D54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4234</Words>
  <Characters>24138</Characters>
  <Application>Microsoft Office Word</Application>
  <DocSecurity>0</DocSecurity>
  <Lines>201</Lines>
  <Paragraphs>56</Paragraphs>
  <ScaleCrop>false</ScaleCrop>
  <Company>Microsoft</Company>
  <LinksUpToDate>false</LinksUpToDate>
  <CharactersWithSpaces>28316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2022-09-28T10:51:00Z</dcterms:created>
  <dcterms:modified xsi:type="dcterms:W3CDTF">2022-09-28T10:51:00Z</dcterms:modified>
</cp:coreProperties>
</file>